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460" w:lineRule="exact"/>
        <w:jc w:val="center"/>
        <w:rPr>
          <w:rFonts w:ascii="宋体" w:eastAsia="宋体" w:cs="Calibri" w:hAnsiTheme="majorEastAsia"/>
          <w:b/>
          <w:sz w:val="44"/>
          <w:szCs w:val="44"/>
        </w:rPr>
      </w:pPr>
      <w:r>
        <w:rPr>
          <w:rFonts w:ascii="宋体" w:eastAsia="宋体" w:cs="宋体" w:hAnsiTheme="majorEastAsia"/>
          <w:b/>
          <w:sz w:val="44"/>
          <w:szCs w:val="44"/>
        </w:rPr>
        <w:t>后勤管理处</w:t>
      </w:r>
      <w:r>
        <w:rPr>
          <w:rFonts w:ascii="宋体" w:eastAsia="宋体" w:cs="Calibri" w:hAnsiTheme="majorEastAsia"/>
          <w:b/>
          <w:sz w:val="44"/>
          <w:szCs w:val="44"/>
        </w:rPr>
        <w:t>2015</w:t>
      </w:r>
      <w:r>
        <w:rPr>
          <w:rFonts w:ascii="宋体" w:eastAsia="宋体" w:cs="宋体" w:hAnsiTheme="majorEastAsia"/>
          <w:b/>
          <w:sz w:val="44"/>
          <w:szCs w:val="44"/>
        </w:rPr>
        <w:t>年工作总结</w:t>
      </w:r>
    </w:p>
    <w:p>
      <w:pPr>
        <w:spacing w:line="460" w:lineRule="exact"/>
        <w:jc w:val="left"/>
        <w:rPr>
          <w:rFonts w:ascii="仿宋_GB2312" w:hAnsi="仿宋_GB2312" w:eastAsia="仿宋_GB2312" w:cs="仿宋_GB2312"/>
          <w:sz w:val="32"/>
        </w:rPr>
      </w:pPr>
    </w:p>
    <w:p>
      <w:pPr>
        <w:spacing w:line="480" w:lineRule="exact"/>
        <w:ind w:firstLine="56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000000" w:themeColor="text1"/>
          <w:sz w:val="32"/>
          <w:szCs w:val="32"/>
        </w:rPr>
        <w:t>2015年，在校党委和行政的正确领导和大力支持下，后勤管理处深入学习党的十八大，十八届三中、四中、五中全会精神和习总书记系列重要讲话，认真落实学校七届四次党代会和七届三次教代会精神，努力构建高效规范的后勤保障及服务体系，紧紧围绕服务师生和服务教学中心，紧跟高水平医科大学建设步伐，抢抓机遇、锐意进取，较好完成了全年各项工作任务，取得了可喜成绩。</w:t>
      </w:r>
      <w:r>
        <w:rPr>
          <w:rFonts w:hint="eastAsia" w:ascii="仿宋_GB2312" w:hAnsi="仿宋_GB2312" w:eastAsia="仿宋_GB2312" w:cs="仿宋_GB2312"/>
          <w:sz w:val="32"/>
          <w:szCs w:val="32"/>
        </w:rPr>
        <w:t>现总结如下：</w:t>
      </w:r>
    </w:p>
    <w:p>
      <w:pPr>
        <w:spacing w:line="480" w:lineRule="exact"/>
        <w:ind w:firstLine="562"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一、加强理论学习，增强服务意识</w:t>
      </w:r>
    </w:p>
    <w:p>
      <w:pPr>
        <w:spacing w:line="480" w:lineRule="exact"/>
        <w:ind w:firstLine="56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后勤管理处以每周一次的例会和每两周一次的党总支扩大会议为平台，认真学习十八大有关文献和习总书记重要讲话精神，注重把理论学习与工作实际结合起来；强化以师生为本的基本服务理念，把师生需求作为后勤工作的立足点和出发点，把师生满意作为后勤工作的最终目标；进一步夯实以服务教学科研、服务师生为工作中心，主动联系、主动服务教学科研；不断从有利于学校深化改革实现跨越式发展出发，扩大职能范围，细化服务内容，提高工作效率，切实保障我校教学科研及人才培养需要。</w:t>
      </w:r>
    </w:p>
    <w:p>
      <w:pPr>
        <w:widowControl/>
        <w:spacing w:line="480" w:lineRule="exact"/>
        <w:ind w:firstLine="562" w:firstLineChars="200"/>
        <w:jc w:val="left"/>
        <w:rPr>
          <w:rFonts w:hint="eastAsia" w:ascii="仿宋_GB2312" w:hAnsi="仿宋_GB2312" w:eastAsia="仿宋_GB2312" w:cs="仿宋_GB2312"/>
          <w:b/>
          <w:sz w:val="32"/>
          <w:szCs w:val="32"/>
          <w:shd w:val="clear" w:color="auto" w:fill="FFFFFF"/>
        </w:rPr>
      </w:pPr>
      <w:r>
        <w:rPr>
          <w:rFonts w:hint="eastAsia" w:ascii="仿宋_GB2312" w:hAnsi="仿宋_GB2312" w:eastAsia="仿宋_GB2312" w:cs="仿宋_GB2312"/>
          <w:b/>
          <w:sz w:val="32"/>
          <w:szCs w:val="32"/>
          <w:shd w:val="clear" w:color="auto" w:fill="FFFFFF"/>
        </w:rPr>
        <w:t>二、加强制度建设，形成长效机制</w:t>
      </w:r>
    </w:p>
    <w:p>
      <w:pPr>
        <w:spacing w:line="480" w:lineRule="exact"/>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年来，后勤管理处先后制定和完善了《后勤管理处党政联席会议制度》、《后勤管理处工作例会制度》、《后勤管理处基建维修工作程序》、《后勤管理处廉洁自律规定》等，规范了工作管理程序、明确了劳动纪律，强化了廉政建设，建立了廉政风险防控长效机制。</w:t>
      </w:r>
    </w:p>
    <w:p>
      <w:pPr>
        <w:spacing w:line="480" w:lineRule="exact"/>
        <w:ind w:firstLine="640"/>
        <w:jc w:val="left"/>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三、过去一年的主要工作</w:t>
      </w:r>
    </w:p>
    <w:p>
      <w:pPr>
        <w:spacing w:line="480" w:lineRule="exact"/>
        <w:ind w:firstLine="419"/>
        <w:jc w:val="left"/>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（一）进一步改善教学科研条件和学习生活环境</w:t>
      </w:r>
    </w:p>
    <w:p>
      <w:pPr>
        <w:spacing w:line="480" w:lineRule="exact"/>
        <w:ind w:firstLine="56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顺利完成新建学生公寓楼建设工程。在学校领导高度重视下，后勤管理处放弃寒暑假期休息，克服炎热和寒冷天气，安排专人入驻新建学生公寓楼施工工地，负责工程质量和施工安全，细化项目指标，督促工程进度。通过日夜奋战，新建学生公寓楼于2014年11月27日破土动工，2015年3月26日顺利封顶，8月底顺利竣工并如期投入使用。新建学生公寓的建成使用，一定程度上缓解了学生住宿紧张状况。</w:t>
      </w:r>
    </w:p>
    <w:p>
      <w:pPr>
        <w:spacing w:line="480" w:lineRule="exact"/>
        <w:ind w:left="16" w:firstLine="617"/>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全年安排大小维修工程100余项。其中主要完成了：（1）党政办公楼改造工程；（2）校区内外墙砖脱落修复工程；（3）校区内玻璃幕墙修复工程；（4）学生公寓2号楼阳台板维修工程；（5）理论楼维护及教室课桌椅维修；（6）校南门校园垃圾场功能改造；（7）校园公共道路整修工程；（8）10余项实验室、科研中心维修改造工程等等。 </w:t>
      </w:r>
    </w:p>
    <w:p>
      <w:pPr>
        <w:spacing w:line="480" w:lineRule="exact"/>
        <w:ind w:left="16" w:firstLine="617"/>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水电管理中心实行节约、抢修及时等制度，坚持做到“小修不过24小时，大修尽快解决”和节假日全天候值班。配合国资处安装新建学生公寓11号楼的总配电柜、照明、空调配电柜和222台空调。及时维修校内教室灯具、路灯、电梯、加压水泵、空气热泵、消防管道等。</w:t>
      </w:r>
    </w:p>
    <w:p>
      <w:pPr>
        <w:spacing w:line="480" w:lineRule="exact"/>
        <w:ind w:firstLine="562"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（二）校园绿化美化品位得到提升</w:t>
      </w:r>
    </w:p>
    <w:p>
      <w:pPr>
        <w:spacing w:line="4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随着生源量的增大，校园生活垃圾产量与日剧增，校南门西侧垃圾中转场频频出现过度垃圾堆积现象，存在严重环境污染，影响附近师生工作学习，有碍其身心健康。在校领导班子的大力支持下，后勤部门多次走访调研，多方协调，决定将垃圾场中转池拆除，把垃圾场功能改造成为教职工上下班临时停车场，并对停车场周边进行了绿化美化。最终，这个师生反映多年的老问题得以彻底解决，收到师生一致好评。</w:t>
      </w:r>
    </w:p>
    <w:p>
      <w:pPr>
        <w:spacing w:line="480" w:lineRule="exact"/>
        <w:ind w:firstLine="57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2、完成新建学生公寓楼周边苗木栽植、草皮铺种。完成对理论教学楼北侧建筑堆积土的修整，并种植了油菜，以为师生春季赏花。完成校园内文化石、景观石安装，提升校园文化品位。</w:t>
      </w:r>
    </w:p>
    <w:p>
      <w:pPr>
        <w:spacing w:line="48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3、校园管理中心积极做好校园环境、垃圾清运和楼宇卫生保洁工作，在春季、秋冬季传染病易发时段，做好环境消杀，净化空气工作，做好喷泉的清洗、换水、湖面的清洁卫生等工作。</w:t>
      </w:r>
    </w:p>
    <w:p>
      <w:pPr>
        <w:spacing w:line="480" w:lineRule="exact"/>
        <w:ind w:firstLine="57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调整校内垃圾存放点转运方式，由原来的自管变为物业公司承保，取消了南门垃圾堆积点，消除二次堆积污染源的存在；不断加强员工的思想建设，增强服务意识，提高服务质量，校园整体环境整洁、美观、舒适。</w:t>
      </w:r>
    </w:p>
    <w:p>
      <w:pPr>
        <w:spacing w:line="480" w:lineRule="exact"/>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（三）加强公务用车管理，做好公务交通服务</w:t>
      </w:r>
    </w:p>
    <w:p>
      <w:pPr>
        <w:spacing w:line="480" w:lineRule="exact"/>
        <w:ind w:firstLine="56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认真做好驾驶员安全行车教育，一年来未发生任何责任性交通事故。规范公务用车及车辆入库管理，严禁公车私用、私车公养；实行定点维修，寻访维修成本；严格管理车辆耗油管理，实行“一车一卡”加油制度。</w:t>
      </w:r>
    </w:p>
    <w:p>
      <w:pPr>
        <w:spacing w:line="48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2015年1月1日起，按照蚌埠市公安交通要求，学校所有未达标排放大型客车全部停止运行，并申请了报废。在车辆减少，工作量不变的情况下，后勤交通服务中心，克服困难，积极协调教学、科研及行政公务用车，保障了学生的临床见习、生产实习及临床教学工作，顺利完成2015年迎新、毕业生双选会等各项公务用车，车辆运行顺畅。</w:t>
      </w:r>
    </w:p>
    <w:p>
      <w:pPr>
        <w:pStyle w:val="9"/>
        <w:numPr>
          <w:ilvl w:val="0"/>
          <w:numId w:val="1"/>
        </w:numPr>
        <w:spacing w:line="480" w:lineRule="exact"/>
        <w:ind w:left="16" w:leftChars="0" w:firstLine="535" w:firstLineChars="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建立质量管理体系，充分发挥质控职能，严把质量关</w:t>
      </w:r>
    </w:p>
    <w:p>
      <w:pPr>
        <w:spacing w:line="480" w:lineRule="exact"/>
        <w:ind w:firstLine="56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调研兄弟院校、开展交流谈心，在各科室的大力支持下，逐步建立了基建零星维修、水电气维修、空调维修工作回访反馈制度。充分发挥后勤处质控科职能，采取电话回访和实地查看相结合方式，对后勤维修审核、服务质量、服务态度等进行综合评价，均收到良好效果。</w:t>
      </w:r>
    </w:p>
    <w:p>
      <w:pPr>
        <w:spacing w:line="480" w:lineRule="exact"/>
        <w:ind w:firstLine="64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（五）食堂管理工作迈上新台阶</w:t>
      </w:r>
    </w:p>
    <w:p>
      <w:pPr>
        <w:spacing w:line="4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加强食品卫生安全管理，落实食品安全员制度。邀请了市卫生监督局和校医院专业人员对食堂员工进行《新食品安全法》知识培训。通过公开招标选定食材配送单位，严把食品进货关，规范食品原料采购、验收、仓库管理程序，从源头上确保食品安全。 </w:t>
      </w:r>
    </w:p>
    <w:p>
      <w:pPr>
        <w:spacing w:line="480" w:lineRule="exact"/>
        <w:ind w:firstLine="56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不断加大对食堂的经费投入，力争使学校食堂的硬件达标；先后对餐厅、厨房进行了改造，重新粉刷了食堂大厅及后堂墙面，更换照明设备。采购了部分厨房用品，如刷碗机、直燃机、切菜机、两眼灶、风柜等，并重新更换了餐盘、碗筷等。</w:t>
      </w:r>
    </w:p>
    <w:p>
      <w:pPr>
        <w:spacing w:line="480" w:lineRule="exact"/>
        <w:ind w:firstLine="56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为消除食堂安全隐患，按照省教育厅关于学生食堂安全工作要求及学校安全工作部署，后勤部门利用学生放寒假时间，已全部取缔了所有食堂售卖档口的液化气罐，统一安装了管道天然气。在三个学生食堂和教工食堂后堂安装视频监控系统，达到食堂明厨亮灶效果，保障了就餐场所安全。</w:t>
      </w:r>
    </w:p>
    <w:p>
      <w:pPr>
        <w:spacing w:line="480" w:lineRule="exact"/>
        <w:ind w:firstLine="56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4、暑假期间，饮食中心成功提供了学院承办的全国大学生手球比赛期间的运动员及教练员伙食供应，并得到了参赛人员和工作人员的一致好评，荣获会务组嘉奖。</w:t>
      </w:r>
    </w:p>
    <w:p>
      <w:pPr>
        <w:spacing w:line="480" w:lineRule="exact"/>
        <w:ind w:firstLine="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5、成立学生伙食管理委员会和饮食中心物价调查小组，聘任学生监督员，参与食堂管理工作，组织物价调查小组成员不定期的到蔬菜批发市场进行物价调查，并定期召开学生座谈会，听取学生的意见和建议。</w:t>
      </w:r>
    </w:p>
    <w:p>
      <w:pPr>
        <w:spacing w:line="480" w:lineRule="exact"/>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（六）学生公寓服务质量有了很大提高</w:t>
      </w:r>
    </w:p>
    <w:p>
      <w:pPr>
        <w:pStyle w:val="4"/>
        <w:shd w:val="clear" w:color="auto" w:fill="FFFFFF"/>
        <w:snapToGrid w:val="0"/>
        <w:spacing w:before="0" w:beforeAutospacing="0" w:after="0" w:afterAutospacing="0" w:line="480" w:lineRule="exact"/>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sz w:val="32"/>
          <w:szCs w:val="32"/>
        </w:rPr>
        <w:t xml:space="preserve">    1、</w:t>
      </w:r>
      <w:r>
        <w:rPr>
          <w:rFonts w:hint="eastAsia" w:ascii="仿宋_GB2312" w:hAnsi="仿宋_GB2312" w:eastAsia="仿宋_GB2312" w:cs="仿宋_GB2312"/>
          <w:color w:val="000000"/>
          <w:sz w:val="32"/>
          <w:szCs w:val="32"/>
          <w:shd w:val="clear" w:color="auto" w:fill="FFFFFF"/>
        </w:rPr>
        <w:t>认真做好宿舍管理常规工作，定期开会及时总结工作、布置任务，每天中心管理员对各栋宿舍门卫进行考勤，在公寓卫生方面：管理员每天对各栋公寓楼进行抽查，不合格的当场进行整改，每周五进行一次定期的卫生及安全检查，保障了宿舍清洁安全。</w:t>
      </w:r>
    </w:p>
    <w:p>
      <w:pPr>
        <w:pStyle w:val="4"/>
        <w:shd w:val="clear" w:color="auto" w:fill="FFFFFF"/>
        <w:snapToGrid w:val="0"/>
        <w:spacing w:before="0" w:beforeAutospacing="0" w:after="0" w:afterAutospacing="0" w:line="480" w:lineRule="exact"/>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xml:space="preserve">    2、2015年暑假期间，我校成功承办了安徽省大中专院校</w:t>
      </w:r>
      <w:r>
        <w:rPr>
          <w:rFonts w:hint="eastAsia" w:ascii="仿宋_GB2312" w:hAnsi="仿宋_GB2312" w:eastAsia="仿宋_GB2312" w:cs="仿宋_GB2312"/>
          <w:color w:val="000000"/>
          <w:sz w:val="32"/>
          <w:szCs w:val="32"/>
          <w:shd w:val="clear" w:color="auto" w:fill="FFFFFF"/>
          <w:lang w:eastAsia="zh-CN"/>
        </w:rPr>
        <w:t>学生公寓</w:t>
      </w:r>
      <w:r>
        <w:rPr>
          <w:rFonts w:hint="eastAsia" w:ascii="仿宋_GB2312" w:hAnsi="仿宋_GB2312" w:eastAsia="仿宋_GB2312" w:cs="仿宋_GB2312"/>
          <w:color w:val="000000"/>
          <w:sz w:val="32"/>
          <w:szCs w:val="32"/>
          <w:shd w:val="clear" w:color="auto" w:fill="FFFFFF"/>
        </w:rPr>
        <w:t>管理人员培训及</w:t>
      </w:r>
      <w:r>
        <w:rPr>
          <w:rFonts w:hint="eastAsia" w:ascii="仿宋_GB2312" w:hAnsi="仿宋_GB2312" w:eastAsia="仿宋_GB2312" w:cs="仿宋_GB2312"/>
          <w:color w:val="000000"/>
          <w:sz w:val="32"/>
          <w:szCs w:val="32"/>
          <w:shd w:val="clear" w:color="auto" w:fill="FFFFFF"/>
          <w:lang w:eastAsia="zh-CN"/>
        </w:rPr>
        <w:t>公寓</w:t>
      </w:r>
      <w:r>
        <w:rPr>
          <w:rFonts w:hint="eastAsia" w:ascii="仿宋_GB2312" w:hAnsi="仿宋_GB2312" w:eastAsia="仿宋_GB2312" w:cs="仿宋_GB2312"/>
          <w:color w:val="000000"/>
          <w:sz w:val="32"/>
          <w:szCs w:val="32"/>
          <w:shd w:val="clear" w:color="auto" w:fill="FFFFFF"/>
        </w:rPr>
        <w:t>管理员演讲比赛决赛，受到教育厅后勤中心领导和全体与会人员一致好评。我校宿管员周芬以感人至深的故事和精彩演讲，荣获决赛特等奖。</w:t>
      </w:r>
    </w:p>
    <w:p>
      <w:pPr>
        <w:pStyle w:val="4"/>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460" w:lineRule="exact"/>
        <w:ind w:left="0" w:leftChars="0" w:right="0" w:rightChars="0" w:firstLine="0" w:firstLineChars="0"/>
        <w:jc w:val="left"/>
        <w:textAlignment w:val="auto"/>
        <w:outlineLvl w:val="9"/>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xml:space="preserve">    3、为做好全国大学生手球比赛选手的住宿工作，宿管中心及时调整集中男女宿舍，对房间进行深层清理打扫，为住宿房间配备所需物品，保证了手球队员的顺利入住和比赛期间入住服务。暑假期间，还安排了蚌埠医学院参加全国护理技能大赛选手入住，切实做好选手竞赛期间的后勤服务工作。</w:t>
      </w:r>
    </w:p>
    <w:p>
      <w:pPr>
        <w:pStyle w:val="4"/>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460" w:lineRule="exact"/>
        <w:ind w:left="0" w:leftChars="0" w:right="0" w:rightChars="0" w:firstLine="0" w:firstLineChars="0"/>
        <w:jc w:val="left"/>
        <w:textAlignment w:val="auto"/>
        <w:outlineLvl w:val="9"/>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 xml:space="preserve">    4、经过周密安排，于2</w:t>
      </w:r>
      <w:r>
        <w:rPr>
          <w:rFonts w:hint="eastAsia" w:ascii="仿宋_GB2312" w:hAnsi="仿宋_GB2312" w:eastAsia="仿宋_GB2312" w:cs="仿宋_GB2312"/>
          <w:sz w:val="32"/>
          <w:szCs w:val="32"/>
        </w:rPr>
        <w:t>015年9月初，顺利完成宿舍调整，如期完成我校2014级居住在安徽电子信息技术职业学院670余学生的回迁住宿及入住工作。</w:t>
      </w:r>
    </w:p>
    <w:p>
      <w:pPr>
        <w:keepNext w:val="0"/>
        <w:keepLines w:val="0"/>
        <w:pageBreakBefore w:val="0"/>
        <w:kinsoku/>
        <w:wordWrap/>
        <w:overflowPunct/>
        <w:topLinePunct w:val="0"/>
        <w:autoSpaceDE/>
        <w:autoSpaceDN/>
        <w:bidi w:val="0"/>
        <w:adjustRightInd/>
        <w:spacing w:line="460" w:lineRule="exact"/>
        <w:ind w:left="0" w:leftChars="0" w:right="0" w:rightChars="0" w:firstLine="0" w:firstLine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shd w:val="clear" w:color="auto" w:fill="FFFFFF"/>
        </w:rPr>
        <w:t xml:space="preserve">    5、在学生宿舍公共区安装了电吹风、微波炉，为广大学生提供了生活方便。</w:t>
      </w:r>
      <w:r>
        <w:rPr>
          <w:rFonts w:hint="eastAsia" w:ascii="仿宋_GB2312" w:hAnsi="仿宋_GB2312" w:eastAsia="仿宋_GB2312" w:cs="仿宋_GB2312"/>
          <w:snapToGrid w:val="0"/>
          <w:sz w:val="32"/>
          <w:szCs w:val="32"/>
          <w:shd w:val="clear" w:color="auto" w:fill="FFFFFF"/>
        </w:rPr>
        <w:t>学生宿舍安装了门禁系统，有效杜绝了校外闲杂人员混入学生宿舍，增加了宿舍防范安全系数。</w:t>
      </w:r>
    </w:p>
    <w:p>
      <w:pPr>
        <w:spacing w:line="480" w:lineRule="exact"/>
        <w:ind w:firstLine="420"/>
        <w:rPr>
          <w:rFonts w:hint="eastAsia" w:ascii="仿宋_GB2312" w:hAnsi="仿宋_GB2312" w:eastAsia="仿宋_GB2312" w:cs="仿宋_GB2312"/>
          <w:b/>
          <w:color w:val="000000"/>
          <w:sz w:val="32"/>
          <w:szCs w:val="32"/>
        </w:rPr>
      </w:pPr>
      <w:r>
        <w:rPr>
          <w:rFonts w:hint="eastAsia" w:ascii="仿宋_GB2312" w:hAnsi="仿宋_GB2312" w:eastAsia="仿宋_GB2312" w:cs="仿宋_GB2312"/>
          <w:b/>
          <w:sz w:val="32"/>
          <w:szCs w:val="32"/>
        </w:rPr>
        <w:t>（七）</w:t>
      </w:r>
      <w:r>
        <w:rPr>
          <w:rFonts w:hint="eastAsia" w:ascii="仿宋_GB2312" w:hAnsi="仿宋_GB2312" w:eastAsia="仿宋_GB2312" w:cs="仿宋_GB2312"/>
          <w:b/>
          <w:color w:val="000000"/>
          <w:sz w:val="32"/>
          <w:szCs w:val="32"/>
        </w:rPr>
        <w:t>我校成功荣获“国家第二批节约型公共机构示范单位”称号</w:t>
      </w:r>
    </w:p>
    <w:p>
      <w:pPr>
        <w:widowControl/>
        <w:spacing w:line="480" w:lineRule="exact"/>
        <w:ind w:firstLine="42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十二五”以来，学校领导高度重视节约型校园建设，努力打造靓丽校园、绿色校园和节约型校园建设，淘汰了老旧高能耗设备，废除了学生食堂蒸汽锅炉供热模式，安装了天然气直燃机；加大节能设备更新改造力度，积极利用新能源，在学生浴池安装了空气能热泵热水系统；实施合同能源管理，建设了太阳能光伏电站；在全校范围内实施照明节能工程，淘汰高能耗照明设备，室外安装了太阳能路灯和LED路灯，室内安装了T5型节能灯具，在相应区域实施时控和感应控制；积极开展“光盘行动”和节能宣传活动，以节能、节水、资源循环利用、可再生能源应用和绿色消费为重点，积极推进节约型校园建设。近年来，学校节约型校园建设取得显著成效，生均能耗和单位建筑面积能耗均有大幅下降，先后获省教育厅节能工作年度考核“优秀”等次，“安徽省节能示范单位”称号；最终荣获“国家第二批节约型公共机构示范单位”荣誉称号。</w:t>
      </w:r>
    </w:p>
    <w:p>
      <w:pPr>
        <w:spacing w:line="480" w:lineRule="exact"/>
        <w:ind w:firstLine="64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四、存在不足</w:t>
      </w:r>
    </w:p>
    <w:p>
      <w:pPr>
        <w:spacing w:line="48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1、规章制度、工作规范有待进一步完善。　 </w:t>
      </w:r>
    </w:p>
    <w:p>
      <w:pPr>
        <w:spacing w:line="480" w:lineRule="exact"/>
        <w:ind w:firstLine="42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2、工作创</w:t>
      </w:r>
      <w:r>
        <w:rPr>
          <w:rFonts w:hint="eastAsia" w:ascii="仿宋_GB2312" w:hAnsi="仿宋_GB2312" w:eastAsia="仿宋_GB2312" w:cs="仿宋_GB2312"/>
          <w:sz w:val="32"/>
          <w:szCs w:val="32"/>
          <w:lang w:eastAsia="zh-CN"/>
        </w:rPr>
        <w:t>新</w:t>
      </w:r>
      <w:r>
        <w:rPr>
          <w:rFonts w:hint="eastAsia" w:ascii="仿宋_GB2312" w:hAnsi="仿宋_GB2312" w:eastAsia="仿宋_GB2312" w:cs="仿宋_GB2312"/>
          <w:sz w:val="32"/>
          <w:szCs w:val="32"/>
        </w:rPr>
        <w:t>不够，后勤队伍专业技能有待提升。</w:t>
      </w:r>
    </w:p>
    <w:p>
      <w:pPr>
        <w:spacing w:line="48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3、后勤班子的凝聚力有待加强，职责需进一步明确。</w:t>
      </w:r>
    </w:p>
    <w:p>
      <w:pPr>
        <w:spacing w:line="480" w:lineRule="exact"/>
        <w:ind w:firstLine="640"/>
        <w:jc w:val="center"/>
        <w:rPr>
          <w:rFonts w:hint="eastAsia" w:ascii="仿宋_GB2312" w:hAnsi="仿宋_GB2312" w:eastAsia="仿宋_GB2312" w:cs="仿宋_GB2312"/>
          <w:sz w:val="32"/>
          <w:szCs w:val="32"/>
        </w:rPr>
      </w:pPr>
    </w:p>
    <w:p>
      <w:pPr>
        <w:spacing w:line="480" w:lineRule="exact"/>
        <w:ind w:firstLine="2266" w:firstLineChars="627"/>
        <w:rPr>
          <w:rFonts w:hint="eastAsia" w:ascii="仿宋_GB2312" w:hAnsi="仿宋_GB2312" w:eastAsia="仿宋_GB2312" w:cs="仿宋_GB2312"/>
          <w:b/>
          <w:sz w:val="32"/>
          <w:szCs w:val="32"/>
        </w:rPr>
      </w:pPr>
    </w:p>
    <w:p>
      <w:pPr>
        <w:spacing w:line="48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后勤管理处</w:t>
      </w:r>
    </w:p>
    <w:p>
      <w:pPr>
        <w:spacing w:line="480" w:lineRule="exact"/>
        <w:ind w:firstLine="1762" w:firstLineChars="627"/>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2016年元月</w:t>
      </w:r>
    </w:p>
    <w:p>
      <w:pPr>
        <w:spacing w:line="480" w:lineRule="exact"/>
        <w:ind w:firstLine="2266" w:firstLineChars="627"/>
        <w:rPr>
          <w:rFonts w:hint="eastAsia" w:ascii="仿宋_GB2312" w:hAnsi="仿宋_GB2312" w:eastAsia="仿宋_GB2312" w:cs="仿宋_GB2312"/>
          <w:b/>
          <w:sz w:val="32"/>
          <w:szCs w:val="32"/>
        </w:rPr>
      </w:pPr>
    </w:p>
    <w:p>
      <w:pPr>
        <w:spacing w:line="480" w:lineRule="exact"/>
        <w:ind w:firstLine="2266" w:firstLineChars="627"/>
        <w:rPr>
          <w:rFonts w:hint="eastAsia" w:ascii="仿宋_GB2312" w:hAnsi="仿宋_GB2312" w:eastAsia="仿宋_GB2312" w:cs="仿宋_GB2312"/>
          <w:b/>
          <w:sz w:val="32"/>
          <w:szCs w:val="32"/>
        </w:rPr>
      </w:pPr>
    </w:p>
    <w:p>
      <w:pPr>
        <w:spacing w:line="480" w:lineRule="exact"/>
        <w:ind w:firstLine="2266" w:firstLineChars="627"/>
        <w:rPr>
          <w:rFonts w:hint="eastAsia" w:ascii="仿宋_GB2312" w:hAnsi="仿宋_GB2312" w:eastAsia="仿宋_GB2312" w:cs="仿宋_GB2312"/>
          <w:b/>
          <w:sz w:val="32"/>
          <w:szCs w:val="32"/>
        </w:rPr>
      </w:pPr>
    </w:p>
    <w:p>
      <w:pPr>
        <w:spacing w:line="480" w:lineRule="exact"/>
        <w:ind w:firstLine="2266" w:firstLineChars="627"/>
        <w:rPr>
          <w:rFonts w:hint="eastAsia" w:ascii="仿宋_GB2312" w:hAnsi="仿宋_GB2312" w:eastAsia="仿宋_GB2312" w:cs="仿宋_GB2312"/>
          <w:b/>
          <w:sz w:val="32"/>
          <w:szCs w:val="32"/>
        </w:rPr>
      </w:pPr>
    </w:p>
    <w:p>
      <w:pPr>
        <w:spacing w:line="480" w:lineRule="exact"/>
        <w:ind w:firstLine="2266" w:firstLineChars="627"/>
        <w:rPr>
          <w:rFonts w:hint="eastAsia" w:ascii="仿宋_GB2312" w:hAnsi="仿宋_GB2312" w:eastAsia="仿宋_GB2312" w:cs="仿宋_GB2312"/>
          <w:b/>
          <w:sz w:val="32"/>
          <w:szCs w:val="32"/>
        </w:rPr>
      </w:pPr>
    </w:p>
    <w:p>
      <w:pPr>
        <w:spacing w:line="480" w:lineRule="exact"/>
        <w:ind w:firstLine="2266" w:firstLineChars="627"/>
        <w:rPr>
          <w:rFonts w:hint="eastAsia" w:ascii="仿宋_GB2312" w:hAnsi="仿宋_GB2312" w:eastAsia="仿宋_GB2312" w:cs="仿宋_GB2312"/>
          <w:b/>
          <w:sz w:val="32"/>
          <w:szCs w:val="32"/>
        </w:rPr>
      </w:pPr>
    </w:p>
    <w:p>
      <w:pPr>
        <w:spacing w:line="480" w:lineRule="exact"/>
        <w:ind w:firstLine="2266" w:firstLineChars="627"/>
        <w:rPr>
          <w:rFonts w:hint="eastAsia" w:ascii="仿宋_GB2312" w:hAnsi="仿宋_GB2312" w:eastAsia="仿宋_GB2312" w:cs="仿宋_GB2312"/>
          <w:b/>
          <w:sz w:val="32"/>
          <w:szCs w:val="32"/>
        </w:rPr>
      </w:pPr>
    </w:p>
    <w:p>
      <w:pPr>
        <w:spacing w:line="480" w:lineRule="exact"/>
        <w:ind w:firstLine="2266" w:firstLineChars="627"/>
        <w:rPr>
          <w:rFonts w:hint="eastAsia" w:ascii="仿宋_GB2312" w:hAnsi="仿宋_GB2312" w:eastAsia="仿宋_GB2312" w:cs="仿宋_GB2312"/>
          <w:b/>
          <w:sz w:val="32"/>
          <w:szCs w:val="32"/>
        </w:rPr>
      </w:pPr>
    </w:p>
    <w:p>
      <w:pPr>
        <w:spacing w:line="480" w:lineRule="exact"/>
        <w:ind w:firstLine="2266" w:firstLineChars="627"/>
        <w:rPr>
          <w:rFonts w:hint="eastAsia" w:ascii="仿宋_GB2312" w:hAnsi="仿宋_GB2312" w:eastAsia="仿宋_GB2312" w:cs="仿宋_GB2312"/>
          <w:b/>
          <w:sz w:val="32"/>
          <w:szCs w:val="32"/>
        </w:rPr>
      </w:pPr>
    </w:p>
    <w:p>
      <w:pPr>
        <w:spacing w:line="480" w:lineRule="exact"/>
        <w:ind w:firstLine="2266" w:firstLineChars="627"/>
        <w:rPr>
          <w:rFonts w:hint="eastAsia" w:ascii="仿宋_GB2312" w:hAnsi="仿宋_GB2312" w:eastAsia="仿宋_GB2312" w:cs="仿宋_GB2312"/>
          <w:b/>
          <w:sz w:val="32"/>
          <w:szCs w:val="32"/>
        </w:rPr>
      </w:pPr>
    </w:p>
    <w:p>
      <w:pPr>
        <w:spacing w:line="480" w:lineRule="exact"/>
        <w:ind w:firstLine="2266" w:firstLineChars="627"/>
        <w:rPr>
          <w:rFonts w:hint="eastAsia" w:ascii="仿宋_GB2312" w:hAnsi="仿宋_GB2312" w:eastAsia="仿宋_GB2312" w:cs="仿宋_GB2312"/>
          <w:b/>
          <w:sz w:val="32"/>
          <w:szCs w:val="32"/>
        </w:rPr>
      </w:pPr>
    </w:p>
    <w:p>
      <w:pPr>
        <w:spacing w:line="480" w:lineRule="exact"/>
        <w:ind w:firstLine="2266" w:firstLineChars="627"/>
        <w:rPr>
          <w:rFonts w:hint="eastAsia" w:ascii="仿宋_GB2312" w:hAnsi="仿宋_GB2312" w:eastAsia="仿宋_GB2312" w:cs="仿宋_GB2312"/>
          <w:b/>
          <w:sz w:val="32"/>
          <w:szCs w:val="32"/>
        </w:rPr>
      </w:pPr>
    </w:p>
    <w:p>
      <w:pPr>
        <w:spacing w:line="480" w:lineRule="exact"/>
        <w:ind w:firstLine="2266" w:firstLineChars="627"/>
        <w:rPr>
          <w:rFonts w:hint="eastAsia" w:ascii="仿宋_GB2312" w:hAnsi="仿宋_GB2312" w:eastAsia="仿宋_GB2312" w:cs="仿宋_GB2312"/>
          <w:b/>
          <w:sz w:val="32"/>
          <w:szCs w:val="32"/>
        </w:rPr>
      </w:pPr>
    </w:p>
    <w:p>
      <w:pPr>
        <w:spacing w:line="480" w:lineRule="exact"/>
        <w:ind w:firstLine="2266" w:firstLineChars="627"/>
        <w:rPr>
          <w:rFonts w:hint="eastAsia" w:ascii="仿宋_GB2312" w:hAnsi="仿宋_GB2312" w:eastAsia="仿宋_GB2312" w:cs="仿宋_GB2312"/>
          <w:b/>
          <w:sz w:val="32"/>
          <w:szCs w:val="32"/>
        </w:rPr>
      </w:pPr>
    </w:p>
    <w:p>
      <w:pPr>
        <w:spacing w:line="480" w:lineRule="exact"/>
        <w:jc w:val="center"/>
        <w:rPr>
          <w:rFonts w:hint="eastAsia" w:asciiTheme="majorEastAsia" w:hAnsiTheme="majorEastAsia" w:eastAsiaTheme="majorEastAsia" w:cstheme="majorEastAsia"/>
          <w:b/>
          <w:sz w:val="44"/>
          <w:szCs w:val="44"/>
        </w:rPr>
      </w:pPr>
    </w:p>
    <w:p>
      <w:pPr>
        <w:spacing w:line="480" w:lineRule="exact"/>
        <w:jc w:val="center"/>
        <w:rPr>
          <w:rFonts w:hint="eastAsia" w:asciiTheme="majorEastAsia" w:hAnsiTheme="majorEastAsia" w:eastAsiaTheme="majorEastAsia" w:cstheme="majorEastAsia"/>
          <w:b/>
          <w:sz w:val="44"/>
          <w:szCs w:val="44"/>
        </w:rPr>
      </w:pPr>
    </w:p>
    <w:p>
      <w:pPr>
        <w:spacing w:line="480" w:lineRule="exact"/>
        <w:jc w:val="center"/>
        <w:rPr>
          <w:rFonts w:hint="eastAsia" w:asciiTheme="majorEastAsia" w:hAnsiTheme="majorEastAsia" w:eastAsiaTheme="majorEastAsia" w:cstheme="majorEastAsia"/>
          <w:b/>
          <w:sz w:val="44"/>
          <w:szCs w:val="44"/>
        </w:rPr>
      </w:pPr>
    </w:p>
    <w:p>
      <w:pPr>
        <w:spacing w:line="480" w:lineRule="exact"/>
        <w:jc w:val="center"/>
        <w:rPr>
          <w:rFonts w:hint="eastAsia" w:asciiTheme="majorEastAsia" w:hAnsiTheme="majorEastAsia" w:eastAsiaTheme="majorEastAsia" w:cstheme="majorEastAsia"/>
          <w:b/>
          <w:sz w:val="44"/>
          <w:szCs w:val="44"/>
        </w:rPr>
      </w:pPr>
    </w:p>
    <w:p>
      <w:pPr>
        <w:spacing w:line="480" w:lineRule="exact"/>
        <w:jc w:val="center"/>
        <w:rPr>
          <w:rFonts w:hint="eastAsia" w:asciiTheme="majorEastAsia" w:hAnsiTheme="majorEastAsia" w:eastAsiaTheme="majorEastAsia" w:cstheme="majorEastAsia"/>
          <w:b/>
          <w:sz w:val="44"/>
          <w:szCs w:val="44"/>
        </w:rPr>
      </w:pPr>
    </w:p>
    <w:p>
      <w:pPr>
        <w:spacing w:line="480" w:lineRule="exact"/>
        <w:jc w:val="center"/>
        <w:rPr>
          <w:rFonts w:hint="eastAsia" w:asciiTheme="majorEastAsia" w:hAnsiTheme="majorEastAsia" w:eastAsiaTheme="majorEastAsia" w:cstheme="majorEastAsia"/>
          <w:b/>
          <w:sz w:val="44"/>
          <w:szCs w:val="44"/>
          <w:lang w:val="en-US"/>
        </w:rPr>
      </w:pPr>
      <w:r>
        <w:rPr>
          <w:rFonts w:hint="eastAsia" w:asciiTheme="majorEastAsia" w:hAnsiTheme="majorEastAsia" w:eastAsiaTheme="majorEastAsia" w:cstheme="majorEastAsia"/>
          <w:b/>
          <w:sz w:val="44"/>
          <w:szCs w:val="44"/>
        </w:rPr>
        <w:t>后勤管理处2016年工作</w:t>
      </w:r>
      <w:r>
        <w:rPr>
          <w:rFonts w:hint="eastAsia" w:asciiTheme="majorEastAsia" w:hAnsiTheme="majorEastAsia" w:eastAsiaTheme="majorEastAsia" w:cstheme="majorEastAsia"/>
          <w:b/>
          <w:sz w:val="44"/>
          <w:szCs w:val="44"/>
          <w:lang w:eastAsia="zh-CN"/>
        </w:rPr>
        <w:t>计划</w:t>
      </w:r>
    </w:p>
    <w:p>
      <w:pPr>
        <w:tabs>
          <w:tab w:val="left" w:pos="845"/>
          <w:tab w:val="left" w:pos="3435"/>
        </w:tabs>
        <w:spacing w:line="480" w:lineRule="exact"/>
        <w:ind w:firstLine="7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ab/>
      </w:r>
      <w:r>
        <w:rPr>
          <w:rFonts w:hint="eastAsia" w:ascii="仿宋_GB2312" w:hAnsi="仿宋_GB2312" w:eastAsia="仿宋_GB2312" w:cs="仿宋_GB2312"/>
          <w:color w:val="000000"/>
          <w:sz w:val="32"/>
          <w:szCs w:val="32"/>
        </w:rPr>
        <w:tab/>
      </w:r>
    </w:p>
    <w:p>
      <w:pPr>
        <w:pStyle w:val="9"/>
        <w:numPr>
          <w:ilvl w:val="0"/>
          <w:numId w:val="2"/>
        </w:numPr>
        <w:tabs>
          <w:tab w:val="left" w:pos="845"/>
        </w:tabs>
        <w:spacing w:line="480" w:lineRule="exact"/>
        <w:ind w:firstLineChars="0"/>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抓好理论学习，提升团队内涵</w:t>
      </w:r>
    </w:p>
    <w:p>
      <w:pPr>
        <w:tabs>
          <w:tab w:val="left" w:pos="845"/>
        </w:tabs>
        <w:spacing w:line="480" w:lineRule="exact"/>
        <w:ind w:firstLine="56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继续认真学习党的十八届四中、五中全会精神和习总书记重要讲话</w:t>
      </w:r>
      <w:r>
        <w:rPr>
          <w:rFonts w:hint="eastAsia" w:ascii="仿宋_GB2312" w:hAnsi="仿宋_GB2312" w:eastAsia="仿宋_GB2312" w:cs="仿宋_GB2312"/>
          <w:color w:val="000000"/>
          <w:sz w:val="32"/>
          <w:szCs w:val="32"/>
          <w:lang w:eastAsia="zh-CN"/>
        </w:rPr>
        <w:t>精神</w:t>
      </w:r>
      <w:bookmarkStart w:id="0" w:name="_GoBack"/>
      <w:bookmarkEnd w:id="0"/>
      <w:r>
        <w:rPr>
          <w:rFonts w:hint="eastAsia" w:ascii="仿宋_GB2312" w:hAnsi="仿宋_GB2312" w:eastAsia="仿宋_GB2312" w:cs="仿宋_GB2312"/>
          <w:color w:val="000000"/>
          <w:sz w:val="32"/>
          <w:szCs w:val="32"/>
        </w:rPr>
        <w:t>，深入</w:t>
      </w:r>
      <w:r>
        <w:rPr>
          <w:rFonts w:hint="eastAsia" w:ascii="仿宋_GB2312" w:hAnsi="仿宋_GB2312" w:eastAsia="仿宋_GB2312" w:cs="仿宋_GB2312"/>
          <w:color w:val="000000"/>
          <w:sz w:val="32"/>
          <w:szCs w:val="32"/>
          <w:lang w:eastAsia="zh-CN"/>
        </w:rPr>
        <w:t>开展</w:t>
      </w:r>
      <w:r>
        <w:rPr>
          <w:rFonts w:hint="eastAsia" w:ascii="仿宋_GB2312" w:hAnsi="仿宋_GB2312" w:eastAsia="仿宋_GB2312" w:cs="仿宋_GB2312"/>
          <w:color w:val="000000"/>
          <w:sz w:val="32"/>
          <w:szCs w:val="32"/>
        </w:rPr>
        <w:t>党的“三严三实”教育实践活动，抓好党风廉政建设和正风肃纪专项行动。进一步加强基层党组织建设工作，增强基层党组织战斗力和凝聚力。</w:t>
      </w:r>
      <w:r>
        <w:rPr>
          <w:rFonts w:hint="eastAsia" w:ascii="仿宋_GB2312" w:hAnsi="仿宋_GB2312" w:eastAsia="仿宋_GB2312" w:cs="仿宋_GB2312"/>
          <w:sz w:val="32"/>
          <w:szCs w:val="32"/>
        </w:rPr>
        <w:t>紧紧围绕校党委、校行政的中心工作和学校发展的需要，全力推进后勤社会化改革和发展，适应我校高水平大学建设。</w:t>
      </w:r>
    </w:p>
    <w:p>
      <w:pPr>
        <w:spacing w:line="480" w:lineRule="exact"/>
        <w:ind w:firstLine="703" w:firstLineChars="250"/>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二、增强服务意识，提高服务质量</w:t>
      </w:r>
    </w:p>
    <w:p>
      <w:pPr>
        <w:spacing w:line="480" w:lineRule="exact"/>
        <w:ind w:firstLine="700" w:firstLineChars="25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继续强化以师生为本的基本服务理念，把师生需求作为后勤工作的立足点和出发点，把师生满意作为后勤工作的最终目标；进一步夯实以服务教学科研、服务师生为中心的工作理念，扩大服务范围，细化服务内容，提高服务质量，切实保障我校高水平大学建设。</w:t>
      </w:r>
    </w:p>
    <w:p>
      <w:pPr>
        <w:spacing w:line="480" w:lineRule="exact"/>
        <w:ind w:firstLine="562" w:firstLineChars="200"/>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三、健全规章制度建设，规范内部管理</w:t>
      </w:r>
    </w:p>
    <w:p>
      <w:pPr>
        <w:spacing w:line="480" w:lineRule="exact"/>
        <w:ind w:firstLine="56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不断建立和完善后勤管理制度、整合后勤资源、优化内部结构、完善工作运营和质量控制体系，逐步使后勤管理工作制度化、流程规范化；明确后勤岗位职责，责任到岗，职责到人，全面提升后勤工作效率和服务质量。</w:t>
      </w:r>
    </w:p>
    <w:p>
      <w:pPr>
        <w:spacing w:line="480" w:lineRule="exact"/>
        <w:ind w:firstLine="562" w:firstLineChars="200"/>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四、建设高素质后勤管理队伍</w:t>
      </w:r>
    </w:p>
    <w:p>
      <w:pPr>
        <w:spacing w:line="480" w:lineRule="exact"/>
        <w:ind w:firstLine="56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适应我校高水平大学建设需要，必须加强后勤队伍建设，通过加强专业技能培训和引进高素质人才，不断提高后勤人员队伍的业务素质，增强后勤发展后劲，提升服务教学科研水平，不断满足师生日益增长的物质生活和文化建设需求，更好地服务高水平大学建设。</w:t>
      </w:r>
    </w:p>
    <w:p>
      <w:pPr>
        <w:spacing w:line="480" w:lineRule="exact"/>
        <w:ind w:firstLine="562" w:firstLineChars="200"/>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五、建立公共维修服务快速响应体系</w:t>
      </w:r>
    </w:p>
    <w:p>
      <w:pPr>
        <w:spacing w:line="480" w:lineRule="exact"/>
        <w:ind w:firstLine="56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着“以服务师生为根本，以服务教学科研为中心”的工作理念，把后勤保障及服务从被动维修接报转为主动巡查检修。制定行之有效的工程维修流程、理顺审核及审批程序，逐步形成一套合规的、完整的、高效的公共维修服务体系，实现维修报修信息流畅，组织施工迅速，工程质量回访及时，审核审批流程便捷。</w:t>
      </w:r>
    </w:p>
    <w:p>
      <w:pPr>
        <w:spacing w:line="480" w:lineRule="exact"/>
        <w:ind w:firstLine="562" w:firstLineChars="200"/>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六、深化后勤体制机制改革，实现后勤服务资源的优化配置</w:t>
      </w:r>
    </w:p>
    <w:p>
      <w:pPr>
        <w:spacing w:line="480" w:lineRule="exact"/>
        <w:ind w:firstLine="560" w:firstLineChars="200"/>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sz w:val="32"/>
          <w:szCs w:val="32"/>
        </w:rPr>
        <w:t>继续深化后勤改革，整合校内资源，合理利用社会资源和社会服务，采取公开招标方式引进优质实体服务参与学校管理。逐步在学生公寓、学生餐饮、校园绿化、校园保洁、水电运行及校园维修维护等领域引进高资质社会企业入驻校园服务，或采取社会劳务派遣用工方式，开展后勤管理及服务工作，有效规避学校劳动用工风险。全面实施后勤服务项目的招投标制度，严格按照劳动法规范劳动用工合同主体，由后勤管理处代表学校与各公司签订合同，加强监管。</w:t>
      </w:r>
    </w:p>
    <w:p>
      <w:pPr>
        <w:spacing w:line="480" w:lineRule="exact"/>
        <w:ind w:firstLine="562" w:firstLineChars="200"/>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七、继续巩固国家级节约型公共机构示范单位成果，着力做好校园节能减排工作</w:t>
      </w:r>
    </w:p>
    <w:p>
      <w:pPr>
        <w:spacing w:line="480" w:lineRule="exact"/>
        <w:ind w:firstLine="56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通过深化后勤改革和创新管理模式，形成节约资源和保护环境的后勤生产服务方式、校园生活方式；充分利用太阳能、可再生能源和回收能源，力争实现设施节水节电100%；深入开展就餐光盘行动、节水节电等系列活动，在全体师生中积极倡导树立正确的消费观，营造“节约光荣、浪费可耻”的校园氛围。在巩固校园节能减排所取得成绩基础上，进一步完善相应制度、建立激励机制，扎实推进我校节能监管平台建设。    </w:t>
      </w:r>
    </w:p>
    <w:p>
      <w:pPr>
        <w:spacing w:line="480" w:lineRule="exact"/>
        <w:ind w:firstLine="562" w:firstLineChars="200"/>
        <w:rPr>
          <w:rFonts w:hint="eastAsia" w:ascii="仿宋_GB2312" w:hAnsi="仿宋_GB2312" w:eastAsia="仿宋_GB2312" w:cs="仿宋_GB2312"/>
          <w:b/>
          <w:color w:val="000000"/>
          <w:kern w:val="2"/>
          <w:sz w:val="32"/>
          <w:szCs w:val="32"/>
        </w:rPr>
      </w:pPr>
      <w:r>
        <w:rPr>
          <w:rFonts w:hint="eastAsia" w:ascii="仿宋_GB2312" w:hAnsi="仿宋_GB2312" w:eastAsia="仿宋_GB2312" w:cs="仿宋_GB2312"/>
          <w:b/>
          <w:color w:val="000000"/>
          <w:sz w:val="32"/>
          <w:szCs w:val="32"/>
        </w:rPr>
        <w:t>八、具体工作计划</w:t>
      </w:r>
    </w:p>
    <w:p>
      <w:pPr>
        <w:spacing w:line="480" w:lineRule="exact"/>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1、进一步加强制度建设，规范工作流程，保障信息畅通，为全校师生提供快捷、方便、高质量的服务。</w:t>
      </w:r>
    </w:p>
    <w:p>
      <w:pPr>
        <w:spacing w:line="48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2、进一步做好校园公共设施维修维护工作，对校园人行道路、校园花岗岩路面进行维修改造，对存在安全隐患的学生公寓阳台护栏进行更换等。</w:t>
      </w:r>
    </w:p>
    <w:p>
      <w:pPr>
        <w:spacing w:line="48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3、认真做好校园节能监管平台建设工作，确保高质量、高标准完成一期平台建设工程；加强节能管理，完成学生公寓照明系统智控模块升级改造。</w:t>
      </w:r>
    </w:p>
    <w:p>
      <w:pPr>
        <w:spacing w:line="48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4、认真做好校园绿化美化工作，积极开展校园美化团学共建活动，大力倡导绿色、环保，温馨和谐校园。</w:t>
      </w:r>
    </w:p>
    <w:p>
      <w:pPr>
        <w:spacing w:line="48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5、积极做好学校食品卫生安全工作，严格执行新《食品安全法》等规章制度，加大督促检查力度，完善工作机制，确保食品卫生安全。</w:t>
      </w:r>
    </w:p>
    <w:p>
      <w:pPr>
        <w:spacing w:line="48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6、进一步改善学生住宿条件，完成学生公寓“4改6”扩容及维修改造，有效解决学生住宿不足问题。</w:t>
      </w:r>
    </w:p>
    <w:p>
      <w:pPr>
        <w:spacing w:line="48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7、加大学校后勤社会化改革力度，完成学生公寓、校园环境保洁等项目，社会化托管工作。</w:t>
      </w:r>
    </w:p>
    <w:p>
      <w:pPr>
        <w:spacing w:line="48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8、做好我校承办的全国医学生临床技能大赛华中赛区比赛期间后勤保障工作。</w:t>
      </w:r>
    </w:p>
    <w:p>
      <w:pPr>
        <w:spacing w:line="480" w:lineRule="exact"/>
        <w:ind w:firstLine="640"/>
        <w:rPr>
          <w:rFonts w:hint="eastAsia" w:eastAsia="宋体" w:cs="仿宋_GB2312" w:asciiTheme="minorEastAsia" w:hAnsiTheme="minorEastAsia"/>
          <w:sz w:val="28"/>
          <w:szCs w:val="28"/>
        </w:rPr>
      </w:pPr>
    </w:p>
    <w:p>
      <w:pPr>
        <w:spacing w:line="480" w:lineRule="exact"/>
        <w:ind w:firstLine="640"/>
        <w:rPr>
          <w:rFonts w:hint="eastAsia" w:eastAsia="宋体" w:cs="仿宋_GB2312" w:asciiTheme="minorEastAsia" w:hAnsiTheme="minorEastAsia"/>
          <w:sz w:val="28"/>
          <w:szCs w:val="28"/>
        </w:rPr>
      </w:pPr>
    </w:p>
    <w:p>
      <w:pPr>
        <w:spacing w:line="480" w:lineRule="exact"/>
        <w:ind w:firstLine="3304" w:firstLineChars="1180"/>
        <w:rPr>
          <w:rFonts w:hint="eastAsia" w:ascii="仿宋_GB2312" w:hAnsi="仿宋_GB2312" w:eastAsia="仿宋_GB2312" w:cs="仿宋_GB2312"/>
          <w:b w:val="0"/>
          <w:bCs w:val="0"/>
          <w:color w:val="auto"/>
          <w:sz w:val="32"/>
          <w:szCs w:val="32"/>
        </w:rPr>
      </w:pPr>
      <w:r>
        <w:rPr>
          <w:rFonts w:hint="eastAsia" w:eastAsia="宋体" w:cs="仿宋_GB2312" w:asciiTheme="minorEastAsia" w:hAnsiTheme="minorEastAsia"/>
          <w:sz w:val="28"/>
          <w:szCs w:val="28"/>
        </w:rPr>
        <w:t xml:space="preserve">          </w:t>
      </w:r>
      <w:r>
        <w:rPr>
          <w:rFonts w:hint="eastAsia" w:ascii="仿宋_GB2312" w:hAnsi="仿宋_GB2312" w:eastAsia="仿宋_GB2312" w:cs="仿宋_GB2312"/>
          <w:b w:val="0"/>
          <w:bCs w:val="0"/>
          <w:color w:val="auto"/>
          <w:sz w:val="32"/>
          <w:szCs w:val="32"/>
        </w:rPr>
        <w:t xml:space="preserve"> 后勤管理处</w:t>
      </w:r>
    </w:p>
    <w:p>
      <w:pPr>
        <w:spacing w:line="480" w:lineRule="exact"/>
        <w:ind w:firstLine="1762" w:firstLineChars="627"/>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 xml:space="preserve">                </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rPr>
        <w:t xml:space="preserve"> 2016年元月</w:t>
      </w:r>
    </w:p>
    <w:p>
      <w:pPr>
        <w:spacing w:line="480" w:lineRule="exact"/>
        <w:ind w:firstLine="640"/>
        <w:rPr>
          <w:rFonts w:hint="eastAsia" w:ascii="仿宋_GB2312" w:hAnsi="仿宋_GB2312" w:eastAsia="仿宋_GB2312" w:cs="仿宋_GB2312"/>
          <w:b w:val="0"/>
          <w:bCs w:val="0"/>
          <w:color w:val="auto"/>
          <w:sz w:val="32"/>
          <w:szCs w:val="32"/>
        </w:rPr>
      </w:pPr>
    </w:p>
    <w:sectPr>
      <w:pgSz w:w="11906" w:h="16838"/>
      <w:pgMar w:top="1440" w:right="1486"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仿宋_GB2312">
    <w:panose1 w:val="02010609030101010101"/>
    <w:charset w:val="86"/>
    <w:family w:val="swiss"/>
    <w:pitch w:val="default"/>
    <w:sig w:usb0="00000001" w:usb1="080E0000" w:usb2="00000000" w:usb3="00000000" w:csb0="00040000" w:csb1="00000000"/>
  </w:font>
  <w:font w:name="Tahoma">
    <w:panose1 w:val="020B0604030504040204"/>
    <w:charset w:val="00"/>
    <w:family w:val="decorative"/>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837817210">
    <w:nsid w:val="31F0137A"/>
    <w:multiLevelType w:val="multilevel"/>
    <w:tmpl w:val="31F0137A"/>
    <w:lvl w:ilvl="0" w:tentative="1">
      <w:start w:val="4"/>
      <w:numFmt w:val="japaneseCounting"/>
      <w:lvlText w:val="（%1）"/>
      <w:lvlJc w:val="left"/>
      <w:pPr>
        <w:ind w:left="1436" w:hanging="885"/>
      </w:pPr>
      <w:rPr>
        <w:rFonts w:hint="default"/>
      </w:rPr>
    </w:lvl>
    <w:lvl w:ilvl="1" w:tentative="1">
      <w:start w:val="1"/>
      <w:numFmt w:val="lowerLetter"/>
      <w:lvlText w:val="%2)"/>
      <w:lvlJc w:val="left"/>
      <w:pPr>
        <w:ind w:left="1391" w:hanging="420"/>
      </w:pPr>
    </w:lvl>
    <w:lvl w:ilvl="2" w:tentative="1">
      <w:start w:val="1"/>
      <w:numFmt w:val="lowerRoman"/>
      <w:lvlText w:val="%3."/>
      <w:lvlJc w:val="right"/>
      <w:pPr>
        <w:ind w:left="1811" w:hanging="420"/>
      </w:pPr>
    </w:lvl>
    <w:lvl w:ilvl="3" w:tentative="1">
      <w:start w:val="1"/>
      <w:numFmt w:val="decimal"/>
      <w:lvlText w:val="%4."/>
      <w:lvlJc w:val="left"/>
      <w:pPr>
        <w:ind w:left="2231" w:hanging="420"/>
      </w:pPr>
    </w:lvl>
    <w:lvl w:ilvl="4" w:tentative="1">
      <w:start w:val="1"/>
      <w:numFmt w:val="lowerLetter"/>
      <w:lvlText w:val="%5)"/>
      <w:lvlJc w:val="left"/>
      <w:pPr>
        <w:ind w:left="2651" w:hanging="420"/>
      </w:pPr>
    </w:lvl>
    <w:lvl w:ilvl="5" w:tentative="1">
      <w:start w:val="1"/>
      <w:numFmt w:val="lowerRoman"/>
      <w:lvlText w:val="%6."/>
      <w:lvlJc w:val="right"/>
      <w:pPr>
        <w:ind w:left="3071" w:hanging="420"/>
      </w:pPr>
    </w:lvl>
    <w:lvl w:ilvl="6" w:tentative="1">
      <w:start w:val="1"/>
      <w:numFmt w:val="decimal"/>
      <w:lvlText w:val="%7."/>
      <w:lvlJc w:val="left"/>
      <w:pPr>
        <w:ind w:left="3491" w:hanging="420"/>
      </w:pPr>
    </w:lvl>
    <w:lvl w:ilvl="7" w:tentative="1">
      <w:start w:val="1"/>
      <w:numFmt w:val="lowerLetter"/>
      <w:lvlText w:val="%8)"/>
      <w:lvlJc w:val="left"/>
      <w:pPr>
        <w:ind w:left="3911" w:hanging="420"/>
      </w:pPr>
    </w:lvl>
    <w:lvl w:ilvl="8" w:tentative="1">
      <w:start w:val="1"/>
      <w:numFmt w:val="lowerRoman"/>
      <w:lvlText w:val="%9."/>
      <w:lvlJc w:val="right"/>
      <w:pPr>
        <w:ind w:left="4331" w:hanging="420"/>
      </w:pPr>
    </w:lvl>
  </w:abstractNum>
  <w:abstractNum w:abstractNumId="673383067">
    <w:nsid w:val="2823029B"/>
    <w:multiLevelType w:val="multilevel"/>
    <w:tmpl w:val="2823029B"/>
    <w:lvl w:ilvl="0" w:tentative="1">
      <w:start w:val="1"/>
      <w:numFmt w:val="japaneseCounting"/>
      <w:lvlText w:val="%1、"/>
      <w:lvlJc w:val="left"/>
      <w:pPr>
        <w:ind w:left="1420" w:hanging="720"/>
      </w:pPr>
      <w:rPr>
        <w:rFonts w:hint="default"/>
      </w:rPr>
    </w:lvl>
    <w:lvl w:ilvl="1" w:tentative="1">
      <w:start w:val="1"/>
      <w:numFmt w:val="lowerLetter"/>
      <w:lvlText w:val="%2)"/>
      <w:lvlJc w:val="left"/>
      <w:pPr>
        <w:ind w:left="1540" w:hanging="420"/>
      </w:pPr>
    </w:lvl>
    <w:lvl w:ilvl="2" w:tentative="1">
      <w:start w:val="1"/>
      <w:numFmt w:val="lowerRoman"/>
      <w:lvlText w:val="%3."/>
      <w:lvlJc w:val="right"/>
      <w:pPr>
        <w:ind w:left="1960" w:hanging="420"/>
      </w:pPr>
    </w:lvl>
    <w:lvl w:ilvl="3" w:tentative="1">
      <w:start w:val="1"/>
      <w:numFmt w:val="decimal"/>
      <w:lvlText w:val="%4."/>
      <w:lvlJc w:val="left"/>
      <w:pPr>
        <w:ind w:left="2380" w:hanging="420"/>
      </w:pPr>
    </w:lvl>
    <w:lvl w:ilvl="4" w:tentative="1">
      <w:start w:val="1"/>
      <w:numFmt w:val="lowerLetter"/>
      <w:lvlText w:val="%5)"/>
      <w:lvlJc w:val="left"/>
      <w:pPr>
        <w:ind w:left="2800" w:hanging="420"/>
      </w:pPr>
    </w:lvl>
    <w:lvl w:ilvl="5" w:tentative="1">
      <w:start w:val="1"/>
      <w:numFmt w:val="lowerRoman"/>
      <w:lvlText w:val="%6."/>
      <w:lvlJc w:val="right"/>
      <w:pPr>
        <w:ind w:left="3220" w:hanging="420"/>
      </w:pPr>
    </w:lvl>
    <w:lvl w:ilvl="6" w:tentative="1">
      <w:start w:val="1"/>
      <w:numFmt w:val="decimal"/>
      <w:lvlText w:val="%7."/>
      <w:lvlJc w:val="left"/>
      <w:pPr>
        <w:ind w:left="3640" w:hanging="420"/>
      </w:pPr>
    </w:lvl>
    <w:lvl w:ilvl="7" w:tentative="1">
      <w:start w:val="1"/>
      <w:numFmt w:val="lowerLetter"/>
      <w:lvlText w:val="%8)"/>
      <w:lvlJc w:val="left"/>
      <w:pPr>
        <w:ind w:left="4060" w:hanging="420"/>
      </w:pPr>
    </w:lvl>
    <w:lvl w:ilvl="8" w:tentative="1">
      <w:start w:val="1"/>
      <w:numFmt w:val="lowerRoman"/>
      <w:lvlText w:val="%9."/>
      <w:lvlJc w:val="right"/>
      <w:pPr>
        <w:ind w:left="4480" w:hanging="420"/>
      </w:pPr>
    </w:lvl>
  </w:abstractNum>
  <w:num w:numId="1">
    <w:abstractNumId w:val="837817210"/>
  </w:num>
  <w:num w:numId="2">
    <w:abstractNumId w:val="6733830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900AD7"/>
    <w:rsid w:val="00006F1F"/>
    <w:rsid w:val="00011656"/>
    <w:rsid w:val="0004012E"/>
    <w:rsid w:val="00052C60"/>
    <w:rsid w:val="000977B9"/>
    <w:rsid w:val="00147F24"/>
    <w:rsid w:val="001A4A9A"/>
    <w:rsid w:val="00203A66"/>
    <w:rsid w:val="002463A1"/>
    <w:rsid w:val="002B0E27"/>
    <w:rsid w:val="002C08B5"/>
    <w:rsid w:val="002C2E16"/>
    <w:rsid w:val="002C491A"/>
    <w:rsid w:val="00340EE2"/>
    <w:rsid w:val="003654CB"/>
    <w:rsid w:val="00365542"/>
    <w:rsid w:val="003C256A"/>
    <w:rsid w:val="003F0281"/>
    <w:rsid w:val="00404E36"/>
    <w:rsid w:val="004D30AD"/>
    <w:rsid w:val="004D488E"/>
    <w:rsid w:val="004F5598"/>
    <w:rsid w:val="00517B91"/>
    <w:rsid w:val="005A1610"/>
    <w:rsid w:val="005F4F71"/>
    <w:rsid w:val="00627603"/>
    <w:rsid w:val="007039BC"/>
    <w:rsid w:val="007578F8"/>
    <w:rsid w:val="007F65F9"/>
    <w:rsid w:val="00827678"/>
    <w:rsid w:val="008561A0"/>
    <w:rsid w:val="008666E3"/>
    <w:rsid w:val="008760E2"/>
    <w:rsid w:val="00891643"/>
    <w:rsid w:val="008C53CB"/>
    <w:rsid w:val="00900AD7"/>
    <w:rsid w:val="00910C4E"/>
    <w:rsid w:val="00993B5D"/>
    <w:rsid w:val="009A5DD0"/>
    <w:rsid w:val="009C7FC5"/>
    <w:rsid w:val="009E71DE"/>
    <w:rsid w:val="00A60F49"/>
    <w:rsid w:val="00A83A76"/>
    <w:rsid w:val="00AF2877"/>
    <w:rsid w:val="00B02085"/>
    <w:rsid w:val="00B02A69"/>
    <w:rsid w:val="00B90009"/>
    <w:rsid w:val="00B9452D"/>
    <w:rsid w:val="00BA35BC"/>
    <w:rsid w:val="00C81F91"/>
    <w:rsid w:val="00C90B35"/>
    <w:rsid w:val="00C94D85"/>
    <w:rsid w:val="00CF0E97"/>
    <w:rsid w:val="00D047E6"/>
    <w:rsid w:val="00D62A82"/>
    <w:rsid w:val="00E4349B"/>
    <w:rsid w:val="00F0160F"/>
    <w:rsid w:val="00F55037"/>
    <w:rsid w:val="00F97DE2"/>
    <w:rsid w:val="13082E24"/>
    <w:rsid w:val="17AA1863"/>
    <w:rsid w:val="17C31108"/>
    <w:rsid w:val="2B6F6851"/>
    <w:rsid w:val="35497DFC"/>
    <w:rsid w:val="36CA11F2"/>
    <w:rsid w:val="37B54672"/>
    <w:rsid w:val="3ADA779E"/>
    <w:rsid w:val="3C551209"/>
    <w:rsid w:val="4E7E09D4"/>
    <w:rsid w:val="4F170F52"/>
    <w:rsid w:val="7AF47E0A"/>
    <w:rsid w:val="7D890C8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hint="eastAsia" w:ascii="宋体" w:hAnsi="宋体" w:eastAsia="宋体" w:cs="宋体"/>
      <w:sz w:val="24"/>
      <w:szCs w:val="24"/>
    </w:rPr>
  </w:style>
  <w:style w:type="character" w:customStyle="1" w:styleId="7">
    <w:name w:val="页眉 Char"/>
    <w:basedOn w:val="5"/>
    <w:link w:val="3"/>
    <w:uiPriority w:val="0"/>
    <w:rPr>
      <w:sz w:val="18"/>
      <w:szCs w:val="18"/>
    </w:rPr>
  </w:style>
  <w:style w:type="character" w:customStyle="1" w:styleId="8">
    <w:name w:val="页脚 Char"/>
    <w:basedOn w:val="5"/>
    <w:link w:val="2"/>
    <w:uiPriority w:val="0"/>
    <w:rPr>
      <w:sz w:val="18"/>
      <w:szCs w:val="18"/>
    </w:rPr>
  </w:style>
  <w:style w:type="paragraph" w:customStyle="1" w:styleId="9">
    <w:name w:val="List Paragraph"/>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780</Words>
  <Characters>4451</Characters>
  <Lines>37</Lines>
  <Paragraphs>10</Paragraphs>
  <TotalTime>0</TotalTime>
  <ScaleCrop>false</ScaleCrop>
  <LinksUpToDate>false</LinksUpToDate>
  <CharactersWithSpaces>5221</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2015-12-31T01:44:00Z</dcterms:created>
  <dc:creator>Administrator</dc:creator>
  <cp:lastModifiedBy>Administrator</cp:lastModifiedBy>
  <dcterms:modified xsi:type="dcterms:W3CDTF">2016-01-22T01:10:36Z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