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eastAsia="方正小标宋简体"/>
          <w:sz w:val="44"/>
          <w:szCs w:val="44"/>
        </w:rPr>
      </w:pPr>
    </w:p>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eastAsia" w:ascii="华文中宋" w:hAnsi="华文中宋" w:eastAsia="华文中宋" w:cs="华文中宋"/>
          <w:b w:val="0"/>
          <w:bCs w:val="0"/>
          <w:sz w:val="44"/>
          <w:szCs w:val="44"/>
        </w:rPr>
      </w:pPr>
      <w:r>
        <w:rPr>
          <w:rFonts w:hint="eastAsia" w:ascii="华文中宋" w:hAnsi="华文中宋" w:eastAsia="华文中宋" w:cs="华文中宋"/>
          <w:b w:val="0"/>
          <w:bCs w:val="0"/>
          <w:sz w:val="44"/>
          <w:szCs w:val="44"/>
          <w:lang w:eastAsia="zh-CN"/>
        </w:rPr>
        <w:t>蚌埠医学院</w:t>
      </w:r>
      <w:r>
        <w:rPr>
          <w:rFonts w:hint="eastAsia" w:ascii="华文中宋" w:hAnsi="华文中宋" w:eastAsia="华文中宋" w:cs="华文中宋"/>
          <w:b w:val="0"/>
          <w:bCs w:val="0"/>
          <w:sz w:val="44"/>
          <w:szCs w:val="44"/>
        </w:rPr>
        <w:t>2017年纪检监察工作总结及</w:t>
      </w:r>
    </w:p>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eastAsia" w:ascii="华文中宋" w:hAnsi="华文中宋" w:eastAsia="华文中宋" w:cs="华文中宋"/>
          <w:b w:val="0"/>
          <w:bCs w:val="0"/>
          <w:sz w:val="44"/>
          <w:szCs w:val="44"/>
        </w:rPr>
      </w:pPr>
      <w:r>
        <w:rPr>
          <w:rFonts w:hint="eastAsia" w:ascii="华文中宋" w:hAnsi="华文中宋" w:eastAsia="华文中宋" w:cs="华文中宋"/>
          <w:b w:val="0"/>
          <w:bCs w:val="0"/>
          <w:sz w:val="44"/>
          <w:szCs w:val="44"/>
        </w:rPr>
        <w:t>2018年工作计划</w:t>
      </w:r>
    </w:p>
    <w:p>
      <w:pPr>
        <w:jc w:val="center"/>
        <w:rPr>
          <w:rFonts w:hint="eastAsia" w:ascii="仿宋_GB2312" w:hAnsi="仿宋_GB2312" w:eastAsia="仿宋_GB2312" w:cs="仿宋_GB2312"/>
          <w:sz w:val="32"/>
          <w:szCs w:val="32"/>
        </w:rPr>
      </w:pPr>
    </w:p>
    <w:p>
      <w:pPr>
        <w:keepNext w:val="0"/>
        <w:keepLines w:val="0"/>
        <w:pageBreakBefore w:val="0"/>
        <w:kinsoku/>
        <w:wordWrap/>
        <w:overflowPunct/>
        <w:bidi w:val="0"/>
        <w:adjustRightInd w:val="0"/>
        <w:snapToGrid w:val="0"/>
        <w:spacing w:line="276" w:lineRule="auto"/>
        <w:ind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2017年以来，校纪委在校党委和上级纪委领导下，贯彻落实全面从严治党要求，强化使命担当，认真履行监督责任，转职能、转方式、转作风，聚焦监督执纪问责，为学校教育事业健康发展提供有力保障。</w:t>
      </w:r>
    </w:p>
    <w:p>
      <w:pPr>
        <w:keepNext w:val="0"/>
        <w:keepLines w:val="0"/>
        <w:pageBreakBefore w:val="0"/>
        <w:kinsoku/>
        <w:wordWrap/>
        <w:overflowPunct/>
        <w:bidi w:val="0"/>
        <w:adjustRightInd w:val="0"/>
        <w:snapToGrid w:val="0"/>
        <w:spacing w:line="276" w:lineRule="auto"/>
        <w:ind w:right="0" w:rightChars="0" w:firstLine="643" w:firstLineChars="200"/>
        <w:textAlignment w:val="auto"/>
        <w:outlineLvl w:val="9"/>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一、2017年纪检监察主要工作</w:t>
      </w:r>
    </w:p>
    <w:p>
      <w:pPr>
        <w:keepNext w:val="0"/>
        <w:keepLines w:val="0"/>
        <w:pageBreakBefore w:val="0"/>
        <w:kinsoku/>
        <w:wordWrap/>
        <w:overflowPunct/>
        <w:bidi w:val="0"/>
        <w:adjustRightInd w:val="0"/>
        <w:snapToGrid w:val="0"/>
        <w:spacing w:line="276" w:lineRule="auto"/>
        <w:ind w:right="0" w:rightChars="0" w:firstLine="643" w:firstLineChars="200"/>
        <w:textAlignment w:val="auto"/>
        <w:outlineLvl w:val="9"/>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（一）全面从严治党，推动责任落实</w:t>
      </w:r>
    </w:p>
    <w:p>
      <w:pPr>
        <w:keepNext w:val="0"/>
        <w:keepLines w:val="0"/>
        <w:pageBreakBefore w:val="0"/>
        <w:widowControl/>
        <w:kinsoku/>
        <w:wordWrap/>
        <w:overflowPunct/>
        <w:bidi w:val="0"/>
        <w:adjustRightInd w:val="0"/>
        <w:snapToGrid w:val="0"/>
        <w:spacing w:line="276" w:lineRule="auto"/>
        <w:ind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积极协助校党委抓好党风廉政建设工作，认真贯彻落实上级决策部署，强化责任分解，督促各级领导干部进一步增强政治意识和担当意识，切实推动各项责任落到实处。</w:t>
      </w:r>
    </w:p>
    <w:p>
      <w:pPr>
        <w:keepNext w:val="0"/>
        <w:keepLines w:val="0"/>
        <w:pageBreakBefore w:val="0"/>
        <w:kinsoku/>
        <w:wordWrap/>
        <w:overflowPunct/>
        <w:bidi w:val="0"/>
        <w:adjustRightInd w:val="0"/>
        <w:snapToGrid w:val="0"/>
        <w:spacing w:line="276" w:lineRule="auto"/>
        <w:ind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组织召开2017年党风廉政建设工作会议，深入贯彻落实上级党风廉政建设工作会议精神。校党政负责人分别与各单位（部门）党政主要负责人代表签订了《蚌埠医学院2017年党风廉政建设责任书》。积极协助校党委对全校党风廉政建设责任进行分解，制定下发《蚌埠医学院2017年党风廉政建设和反腐败主要工作任务分解表》，将党风廉政建设和反腐败工作任务分解到各部门。开展党风廉政建设责任考核工作，强化监督检查，推动我校各二级党组织党风廉政建设 “两个责任”和处级领导干部“一岗双责”进一步落实。</w:t>
      </w:r>
    </w:p>
    <w:p>
      <w:pPr>
        <w:keepNext w:val="0"/>
        <w:keepLines w:val="0"/>
        <w:pageBreakBefore w:val="0"/>
        <w:kinsoku/>
        <w:wordWrap/>
        <w:overflowPunct/>
        <w:bidi w:val="0"/>
        <w:adjustRightInd w:val="0"/>
        <w:snapToGrid w:val="0"/>
        <w:spacing w:line="276" w:lineRule="auto"/>
        <w:ind w:right="0" w:rightChars="0" w:firstLine="643" w:firstLineChars="200"/>
        <w:textAlignment w:val="auto"/>
        <w:outlineLvl w:val="9"/>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（二）增强党性观念，强化廉洁教育</w:t>
      </w:r>
    </w:p>
    <w:p>
      <w:pPr>
        <w:keepNext w:val="0"/>
        <w:keepLines w:val="0"/>
        <w:pageBreakBefore w:val="0"/>
        <w:kinsoku/>
        <w:wordWrap/>
        <w:overflowPunct/>
        <w:bidi w:val="0"/>
        <w:adjustRightInd w:val="0"/>
        <w:snapToGrid w:val="0"/>
        <w:spacing w:line="276" w:lineRule="auto"/>
        <w:ind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校纪委把廉洁警示教育与做好学校教育事业发展和党的建设各项工作有机结合起来，坚持两手抓，做到两促进，筑牢拒腐防变思想防线。深入推进“讲政治、重规矩、作表率”专题教育，进一步增强党员干部的廉洁意识，组织100余名处级干部赴蚌埠市检察院廉政警示教育基地接受党性党风党纪教育。以案明纪，使干部们经历了一次心灵的洗礼，提高了党性观念、法纪观念和廉洁自律意识。组织党员</w:t>
      </w:r>
      <w:r>
        <w:rPr>
          <w:rFonts w:hint="eastAsia" w:ascii="仿宋_GB2312" w:hAnsi="仿宋_GB2312" w:eastAsia="仿宋_GB2312" w:cs="仿宋_GB2312"/>
          <w:sz w:val="32"/>
          <w:szCs w:val="32"/>
          <w:lang w:eastAsia="zh-CN"/>
        </w:rPr>
        <w:t>进行</w:t>
      </w:r>
      <w:r>
        <w:rPr>
          <w:rFonts w:hint="eastAsia" w:ascii="仿宋_GB2312" w:hAnsi="仿宋_GB2312" w:eastAsia="仿宋_GB2312" w:cs="仿宋_GB2312"/>
          <w:sz w:val="32"/>
          <w:szCs w:val="32"/>
        </w:rPr>
        <w:t>“安徽纪检监察”客户端订阅、微博、微信关注</w:t>
      </w:r>
      <w:r>
        <w:rPr>
          <w:rFonts w:hint="eastAsia" w:ascii="仿宋_GB2312" w:hAnsi="仿宋_GB2312" w:eastAsia="仿宋_GB2312" w:cs="仿宋_GB2312"/>
          <w:sz w:val="32"/>
          <w:szCs w:val="32"/>
          <w:lang w:eastAsia="zh-CN"/>
        </w:rPr>
        <w:t>，</w:t>
      </w:r>
      <w:bookmarkStart w:id="0" w:name="_GoBack"/>
      <w:bookmarkEnd w:id="0"/>
      <w:r>
        <w:rPr>
          <w:rFonts w:hint="eastAsia" w:ascii="仿宋_GB2312" w:hAnsi="仿宋_GB2312" w:eastAsia="仿宋_GB2312" w:cs="仿宋_GB2312"/>
          <w:sz w:val="32"/>
          <w:szCs w:val="32"/>
        </w:rPr>
        <w:t>其中客户端下载1710人，微博关注975人，微信关注2468人，加强党风廉政建设和反腐败工作宣传，提高党员干部的廉洁自律意识。积极利用橱窗等宣传党的十九大精神和党规党纪，运用校园网和微信等新媒体发布开学、中秋、国庆等重要节点廉洁自律规定，切实营造风清气正的良好政治生态。</w:t>
      </w:r>
    </w:p>
    <w:p>
      <w:pPr>
        <w:keepNext w:val="0"/>
        <w:keepLines w:val="0"/>
        <w:pageBreakBefore w:val="0"/>
        <w:kinsoku/>
        <w:wordWrap/>
        <w:overflowPunct/>
        <w:bidi w:val="0"/>
        <w:adjustRightInd w:val="0"/>
        <w:snapToGrid w:val="0"/>
        <w:spacing w:line="276" w:lineRule="auto"/>
        <w:ind w:right="0" w:rightChars="0" w:firstLine="643" w:firstLineChars="200"/>
        <w:textAlignment w:val="auto"/>
        <w:outlineLvl w:val="9"/>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（三）深化制度建设，健全长效机制</w:t>
      </w:r>
    </w:p>
    <w:p>
      <w:pPr>
        <w:keepNext w:val="0"/>
        <w:keepLines w:val="0"/>
        <w:pageBreakBefore w:val="0"/>
        <w:kinsoku/>
        <w:wordWrap/>
        <w:overflowPunct/>
        <w:bidi w:val="0"/>
        <w:adjustRightInd w:val="0"/>
        <w:snapToGrid w:val="0"/>
        <w:spacing w:line="276" w:lineRule="auto"/>
        <w:ind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校纪委始终把制度建设作为建立健全惩治和预防腐败体系的保障工作来抓，加强以制度管人、以制度管权、以制度管事，增强制度的针对性、适用性、可操作性，确保制度行得通、指导力强、能长期管用。通过加强制度梳理，针对薄弱环节和新情况、新问题，及时研究制定和完善规章制度。积极完善学校内部治理结构和健全权力约束，围绕制约和监督权力这个核心，全面梳理2000年1月以来纪委监察审计出制定的各项规章制度。坚持留</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废</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立并举，共清理纪检监察有关规章制度20件，保留11件，废止7件，修订2件，新制定草拟了《中共蚌埠医学院纪律检查委员会案件档案管理细则》、《中共蚌埠医学院纪律检查委员会监督执纪问责办法（试行）》等配套的制度体系，切实发挥制度在权力运用中的作用，逐步建成内容科学、程序严明、配套完备、有效管用的反腐倡廉制度体系。</w:t>
      </w:r>
    </w:p>
    <w:p>
      <w:pPr>
        <w:keepNext w:val="0"/>
        <w:keepLines w:val="0"/>
        <w:pageBreakBefore w:val="0"/>
        <w:kinsoku/>
        <w:wordWrap/>
        <w:overflowPunct/>
        <w:bidi w:val="0"/>
        <w:adjustRightInd w:val="0"/>
        <w:snapToGrid w:val="0"/>
        <w:spacing w:line="276" w:lineRule="auto"/>
        <w:ind w:right="0" w:rightChars="0" w:firstLine="643" w:firstLineChars="200"/>
        <w:textAlignment w:val="auto"/>
        <w:outlineLvl w:val="9"/>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（四）把握“四种形态”，严格线索处置</w:t>
      </w:r>
    </w:p>
    <w:p>
      <w:pPr>
        <w:pStyle w:val="2"/>
        <w:keepNext w:val="0"/>
        <w:keepLines w:val="0"/>
        <w:pageBreakBefore w:val="0"/>
        <w:widowControl/>
        <w:kinsoku/>
        <w:wordWrap/>
        <w:overflowPunct/>
        <w:topLinePunct/>
        <w:bidi w:val="0"/>
        <w:adjustRightInd w:val="0"/>
        <w:snapToGrid w:val="0"/>
        <w:spacing w:after="0" w:line="276" w:lineRule="auto"/>
        <w:ind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扎实做好问题线索处置工作，拓宽问题线索发现渠道，规范问题线索管理程序，建立专人负责、统一接收、逐一登记的问题线索台账制度。综合利用“四种形态”，将其贯穿于纪律审查的全过程</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严格分类处置问题线索</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2017年以来，共受理来信来访26件（问题线索10件，事项16件），其中，反映校本部的来信来访16件（问题线索4件，事项12件），反映一附院的来信来访6件（问题线索5件，事项1件），反映二附院的来信来访4件（问题线索1件，事项3件）。对查实的违规违纪问题共立案3起。共运用“四种形态”处理13人，其中第一种形态9人（含“面对面”初步核实了结5人，批评教育2人，通报批评1人，诫勉谈话1人），第二种形态4人（含党内警告处分2人，党内警告处分，并给予组织处理，调离原岗位2人）。</w:t>
      </w:r>
    </w:p>
    <w:p>
      <w:pPr>
        <w:keepNext w:val="0"/>
        <w:keepLines w:val="0"/>
        <w:pageBreakBefore w:val="0"/>
        <w:widowControl/>
        <w:kinsoku/>
        <w:wordWrap/>
        <w:overflowPunct/>
        <w:bidi w:val="0"/>
        <w:adjustRightInd w:val="0"/>
        <w:snapToGrid w:val="0"/>
        <w:spacing w:line="276" w:lineRule="auto"/>
        <w:ind w:right="0" w:rightChars="0" w:firstLine="643" w:firstLineChars="200"/>
        <w:textAlignment w:val="auto"/>
        <w:outlineLvl w:val="9"/>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（五）扎实开展督查，推进任务落实</w:t>
      </w:r>
    </w:p>
    <w:p>
      <w:pPr>
        <w:keepNext w:val="0"/>
        <w:keepLines w:val="0"/>
        <w:pageBreakBefore w:val="0"/>
        <w:widowControl w:val="0"/>
        <w:kinsoku/>
        <w:wordWrap/>
        <w:overflowPunct/>
        <w:topLinePunct w:val="0"/>
        <w:autoSpaceDE w:val="0"/>
        <w:autoSpaceDN w:val="0"/>
        <w:bidi w:val="0"/>
        <w:adjustRightInd w:val="0"/>
        <w:snapToGrid w:val="0"/>
        <w:spacing w:line="276" w:lineRule="auto"/>
        <w:ind w:left="0" w:leftChars="0" w:right="0" w:rightChars="0" w:firstLine="640" w:firstLineChars="200"/>
        <w:jc w:val="both"/>
        <w:textAlignment w:val="auto"/>
        <w:outlineLvl w:val="9"/>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校纪委按照省委教育工委、省教育厅关于《开展教育扶贫领域突出问题专项整治工作实施方案》的要求，积极制定实施方案，成立领导小组，按步骤开展自查等各阶段工作。开展扶贫领域专项整治抽查工作，由组织部、财务处、监审处等部门组成检查组，分四批抽查7个单位（部门），查看有无项目和资金发放明细，有无建立档案，有无制定相关制度，有无违规行为。重点对各单位各部门扶贫领域资金发放明细、档案、相关制度等情况进行了检查，推动了教育扶贫领域专项治理工作深入开展。</w:t>
      </w:r>
    </w:p>
    <w:p>
      <w:pPr>
        <w:keepNext w:val="0"/>
        <w:keepLines w:val="0"/>
        <w:pageBreakBefore w:val="0"/>
        <w:kinsoku/>
        <w:wordWrap/>
        <w:overflowPunct/>
        <w:autoSpaceDE w:val="0"/>
        <w:autoSpaceDN w:val="0"/>
        <w:bidi w:val="0"/>
        <w:adjustRightInd w:val="0"/>
        <w:snapToGrid w:val="0"/>
        <w:spacing w:line="276" w:lineRule="auto"/>
        <w:ind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加大监督检查的力度，牵头组织党办、组织部、宣传部等部门开展对各单位部门党风廉政建设任务落实情况进行实地抽查，对照党风廉政建设分解任务内容，了解、核实党风廉政建设工作落实情况。积极开展 “小金库”“回头看”、 基建采购突出问题、科研经费规范管理、师德师风专项治理工作的监督检查工作，组成检查组采取听取汇报、查看工作方案与支撑材料等形式，了解五个专项治理工作开展情况。检查组严格检查程序，遵守工作纪律，提出意见和建议，督促整改落实，有力地提高了各单位部门对教育扶贫领域专项治理工作的认识。确保检查工作收到实效。</w:t>
      </w:r>
    </w:p>
    <w:p>
      <w:pPr>
        <w:keepNext w:val="0"/>
        <w:keepLines w:val="0"/>
        <w:pageBreakBefore w:val="0"/>
        <w:kinsoku/>
        <w:wordWrap/>
        <w:overflowPunct/>
        <w:autoSpaceDE w:val="0"/>
        <w:autoSpaceDN w:val="0"/>
        <w:bidi w:val="0"/>
        <w:adjustRightInd w:val="0"/>
        <w:snapToGrid w:val="0"/>
        <w:spacing w:line="276" w:lineRule="auto"/>
        <w:ind w:right="0" w:rightChars="0" w:firstLine="643" w:firstLineChars="200"/>
        <w:textAlignment w:val="auto"/>
        <w:outlineLvl w:val="9"/>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（六）深入监督指导，推进行风建设</w:t>
      </w:r>
    </w:p>
    <w:p>
      <w:pPr>
        <w:keepNext w:val="0"/>
        <w:keepLines w:val="0"/>
        <w:pageBreakBefore w:val="0"/>
        <w:kinsoku/>
        <w:wordWrap/>
        <w:overflowPunct/>
        <w:autoSpaceDE w:val="0"/>
        <w:autoSpaceDN w:val="0"/>
        <w:bidi w:val="0"/>
        <w:adjustRightInd w:val="0"/>
        <w:snapToGrid w:val="0"/>
        <w:spacing w:line="276" w:lineRule="auto"/>
        <w:ind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校纪委积极开展对直属附属医院党风廉政建设工作的督察，强化对直属附属医院党风廉政建设工作的指导。校纪委书记杨烨同志深入直属附属医院就党风廉政建设工作进行调研。调研通过听取信访工作汇报和召开党政班子座谈会等形式，督促附属医院贯彻落实好“两个责任”，厘清党委的主体责任和纪委的监督责任，把党的领导体现在日常管理和监督中，真正担负起管党治党的主体责任和督责任。提高领导班子成员“一岗双责”意识，实现党风廉政建设工作与业务工作有机结合。真正使纪律成为管党治党的尺子和不可逾越的底线，为附属医院稳定健康发展提供坚强保障。</w:t>
      </w:r>
    </w:p>
    <w:p>
      <w:pPr>
        <w:keepNext w:val="0"/>
        <w:keepLines w:val="0"/>
        <w:pageBreakBefore w:val="0"/>
        <w:kinsoku/>
        <w:wordWrap/>
        <w:overflowPunct/>
        <w:autoSpaceDE w:val="0"/>
        <w:autoSpaceDN w:val="0"/>
        <w:bidi w:val="0"/>
        <w:adjustRightInd w:val="0"/>
        <w:snapToGrid w:val="0"/>
        <w:spacing w:line="276" w:lineRule="auto"/>
        <w:ind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附院根据安徽省卫生计生委和安徽省人民检察院《全省卫生计生系统预防职务犯罪专项活动工作方案》的要求，积极开展预防职务犯罪工作。成立了预防职务犯罪专项活动领导小组，制定下发了《蚌埠医学院第一附属医院开展预防职务犯罪专项活动的工作方案》，设置了廉政账户，开展自查自纠工作。邀请蚌埠市检察院副检察长康燕作预防职务犯罪专题报告，组织干部、医务人员260余名赴蚌埠市检察院警示教育基地参观学习，牢固树立思想道德防线，远离职务犯罪。制定了《蚌埠医学院第一附属医院“严肃行业纪律预防职务犯罪”关心关爱谈话实施方案》，由院党政主要负责人牵头，对人事、财务、设备、国资等29个主要职能部门负责人进行了关心关爱谈话。组织全院职工观看《警钟长鸣 护佑生命》警示教育片20场次,确保人人观看、人人受到震慑。组织全院职工共计3104人签署个人廉洁承诺书。截止到11月30日，一附院24个业务科室、48个个人上交</w:t>
      </w:r>
      <w:r>
        <w:rPr>
          <w:rFonts w:hint="eastAsia" w:ascii="仿宋_GB2312" w:hAnsi="仿宋_GB2312" w:eastAsia="仿宋_GB2312" w:cs="仿宋_GB2312"/>
          <w:sz w:val="32"/>
          <w:szCs w:val="32"/>
          <w:lang w:val="en-US" w:eastAsia="zh-CN"/>
        </w:rPr>
        <w:t>132</w:t>
      </w:r>
      <w:r>
        <w:rPr>
          <w:rFonts w:hint="eastAsia" w:ascii="仿宋_GB2312" w:hAnsi="仿宋_GB2312" w:eastAsia="仿宋_GB2312" w:cs="仿宋_GB2312"/>
          <w:sz w:val="32"/>
          <w:szCs w:val="32"/>
        </w:rPr>
        <w:t>笔廉政钱款。</w:t>
      </w:r>
    </w:p>
    <w:p>
      <w:pPr>
        <w:keepNext w:val="0"/>
        <w:keepLines w:val="0"/>
        <w:pageBreakBefore w:val="0"/>
        <w:kinsoku/>
        <w:wordWrap/>
        <w:overflowPunct/>
        <w:bidi w:val="0"/>
        <w:adjustRightInd w:val="0"/>
        <w:snapToGrid w:val="0"/>
        <w:spacing w:line="276" w:lineRule="auto"/>
        <w:ind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附院组织全院医务及行政人员共计1031人签订了预防职务犯罪廉洁从医、廉洁行政承诺书，开展《预防职务犯罪工作条例》及中央八项规定、六项禁令、反“四风”、“九不准”等相关内容的宣传学习。组织全院1031名行政及医务人员按党员、非党员进行测试，邀请蚌埠市检察院宣教处开展预防职务犯罪廉政讲座，组织1180人观看《警钟长鸣 护佑生命》警示教育片，参加率95.3%。通过微信群、QQ群等形式转发最新违规违纪案件，适时开展警示教育。</w:t>
      </w:r>
    </w:p>
    <w:p>
      <w:pPr>
        <w:keepNext w:val="0"/>
        <w:keepLines w:val="0"/>
        <w:pageBreakBefore w:val="0"/>
        <w:kinsoku/>
        <w:wordWrap/>
        <w:overflowPunct/>
        <w:bidi w:val="0"/>
        <w:adjustRightInd w:val="0"/>
        <w:snapToGrid w:val="0"/>
        <w:spacing w:line="276" w:lineRule="auto"/>
        <w:ind w:right="0" w:rightChars="0" w:firstLine="643" w:firstLineChars="200"/>
        <w:textAlignment w:val="auto"/>
        <w:outlineLvl w:val="9"/>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 xml:space="preserve">（七）持续推进“三转”，强化队伍建设 </w:t>
      </w:r>
    </w:p>
    <w:p>
      <w:pPr>
        <w:keepNext w:val="0"/>
        <w:keepLines w:val="0"/>
        <w:pageBreakBefore w:val="0"/>
        <w:kinsoku/>
        <w:wordWrap/>
        <w:overflowPunct/>
        <w:bidi w:val="0"/>
        <w:adjustRightInd w:val="0"/>
        <w:snapToGrid w:val="0"/>
        <w:spacing w:line="276" w:lineRule="auto"/>
        <w:ind w:right="0" w:rightChars="0" w:firstLine="640" w:firstLineChars="200"/>
        <w:textAlignment w:val="auto"/>
        <w:outlineLvl w:val="9"/>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校纪委积极按照“三转”要求，不断深化对职责定位的认识，聚焦监督执纪问责主业，集中力量把职责范围内的工作做深、做细、做实。围绕“监督的再监督，检查的再检查”，将主要精力集中到党风廉政建设工作上来。着力解决错位、越位、不到位的问题，努力做到遵循党章，回归本职，强化监督执纪问责，切实做到忠诚、干净、担当。纪检监察干部紧密结合纪检监察工作实际，加强理论学习和党性修养，不断提高政治理论水平和业务工作能力。认真落实集中学习制度，定期召开纪委工作例会和纪委扩大会议，组织学习党的十九大精神、上级纪委会议和习近平总书记系列重要讲话精神，切实提高纪检监察干部理论素质和政策水平。选派3人次参加中纪委和省纪委组织的业务培训班，选派1名工作人员参加省纪委纪律审查工作，将培训学习成果运用到实践工作中，不断提高纪检监察队伍的专业胜任能力。</w:t>
      </w:r>
    </w:p>
    <w:p>
      <w:pPr>
        <w:keepNext w:val="0"/>
        <w:keepLines w:val="0"/>
        <w:pageBreakBefore w:val="0"/>
        <w:kinsoku/>
        <w:wordWrap/>
        <w:overflowPunct/>
        <w:bidi w:val="0"/>
        <w:adjustRightInd w:val="0"/>
        <w:snapToGrid w:val="0"/>
        <w:spacing w:line="276" w:lineRule="auto"/>
        <w:ind w:right="0" w:rightChars="0" w:firstLine="643" w:firstLineChars="200"/>
        <w:textAlignment w:val="auto"/>
        <w:outlineLvl w:val="9"/>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二、2018年纪检监察工作计划</w:t>
      </w:r>
    </w:p>
    <w:p>
      <w:pPr>
        <w:keepNext w:val="0"/>
        <w:keepLines w:val="0"/>
        <w:pageBreakBefore w:val="0"/>
        <w:kinsoku/>
        <w:wordWrap/>
        <w:overflowPunct/>
        <w:bidi w:val="0"/>
        <w:adjustRightInd w:val="0"/>
        <w:snapToGrid w:val="0"/>
        <w:spacing w:line="276" w:lineRule="auto"/>
        <w:ind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2018年，</w:t>
      </w:r>
      <w:r>
        <w:rPr>
          <w:rFonts w:hint="eastAsia" w:ascii="仿宋_GB2312" w:hAnsi="仿宋_GB2312" w:eastAsia="仿宋_GB2312" w:cs="仿宋_GB2312"/>
          <w:color w:val="000000"/>
          <w:kern w:val="0"/>
          <w:sz w:val="32"/>
          <w:szCs w:val="32"/>
        </w:rPr>
        <w:t>我校纪检监察工作</w:t>
      </w:r>
      <w:r>
        <w:rPr>
          <w:rFonts w:hint="eastAsia" w:ascii="仿宋_GB2312" w:hAnsi="仿宋_GB2312" w:eastAsia="仿宋_GB2312" w:cs="仿宋_GB2312"/>
          <w:sz w:val="32"/>
          <w:szCs w:val="32"/>
        </w:rPr>
        <w:t>以马克思列宁主义、毛泽东思想、邓小平理论、“三个代表”重要思想、科学发展观、习近平新时代中国特色社会主义思想为指导，全面落实十九大作出的战略部署，增强“四个意识”、坚定“四个自信”，不忘初心、牢记使命，切实履行党章赋予的监督执纪问责职责。</w:t>
      </w:r>
    </w:p>
    <w:p>
      <w:pPr>
        <w:keepNext w:val="0"/>
        <w:keepLines w:val="0"/>
        <w:pageBreakBefore w:val="0"/>
        <w:widowControl/>
        <w:kinsoku/>
        <w:wordWrap/>
        <w:overflowPunct/>
        <w:topLinePunct/>
        <w:bidi w:val="0"/>
        <w:adjustRightInd w:val="0"/>
        <w:snapToGrid w:val="0"/>
        <w:spacing w:line="276" w:lineRule="auto"/>
        <w:ind w:right="0" w:rightChars="0" w:firstLine="643" w:firstLineChars="200"/>
        <w:jc w:val="left"/>
        <w:textAlignment w:val="auto"/>
        <w:outlineLvl w:val="9"/>
        <w:rPr>
          <w:rFonts w:hint="eastAsia" w:ascii="仿宋_GB2312" w:hAnsi="仿宋_GB2312" w:eastAsia="仿宋_GB2312" w:cs="仿宋_GB2312"/>
          <w:b/>
          <w:bCs/>
          <w:color w:val="000000"/>
          <w:kern w:val="0"/>
          <w:sz w:val="32"/>
          <w:szCs w:val="32"/>
        </w:rPr>
      </w:pPr>
      <w:r>
        <w:rPr>
          <w:rFonts w:hint="eastAsia" w:ascii="仿宋_GB2312" w:hAnsi="仿宋_GB2312" w:eastAsia="仿宋_GB2312" w:cs="仿宋_GB2312"/>
          <w:b/>
          <w:bCs/>
          <w:color w:val="000000"/>
          <w:kern w:val="0"/>
          <w:sz w:val="32"/>
          <w:szCs w:val="32"/>
        </w:rPr>
        <w:t>（一）深入学习贯彻党的十九大精神</w:t>
      </w:r>
    </w:p>
    <w:p>
      <w:pPr>
        <w:keepNext w:val="0"/>
        <w:keepLines w:val="0"/>
        <w:pageBreakBefore w:val="0"/>
        <w:widowControl/>
        <w:kinsoku/>
        <w:wordWrap/>
        <w:overflowPunct/>
        <w:topLinePunct/>
        <w:bidi w:val="0"/>
        <w:adjustRightInd w:val="0"/>
        <w:snapToGrid w:val="0"/>
        <w:spacing w:line="276" w:lineRule="auto"/>
        <w:ind w:right="0" w:rightChars="0" w:firstLine="640" w:firstLineChars="200"/>
        <w:jc w:val="left"/>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深入学习领会习近平新时代中国特色社会主义思想，准确把握十九大确立的重大判断、重大战略、重大任务，把思想和行动统一到十九大精神上来。紧密结合纪律检查工作实际，毫不动摇地推进全面从严治党。加强对十九大精神和党章党规执行情况的监督检查，保证党员领导干部牢固树立“四个意识”，严明政治纪律和政治规矩，决不允许自行其是、各自为政，有令不行、有禁不止，确保党中央政令畅通。</w:t>
      </w:r>
    </w:p>
    <w:p>
      <w:pPr>
        <w:keepNext w:val="0"/>
        <w:keepLines w:val="0"/>
        <w:pageBreakBefore w:val="0"/>
        <w:widowControl/>
        <w:kinsoku/>
        <w:wordWrap/>
        <w:overflowPunct/>
        <w:topLinePunct/>
        <w:bidi w:val="0"/>
        <w:adjustRightInd w:val="0"/>
        <w:snapToGrid w:val="0"/>
        <w:spacing w:line="276" w:lineRule="auto"/>
        <w:ind w:right="0" w:rightChars="0" w:firstLine="643" w:firstLineChars="200"/>
        <w:jc w:val="left"/>
        <w:textAlignment w:val="auto"/>
        <w:outlineLvl w:val="9"/>
        <w:rPr>
          <w:rFonts w:hint="eastAsia" w:ascii="仿宋_GB2312" w:hAnsi="仿宋_GB2312" w:eastAsia="仿宋_GB2312" w:cs="仿宋_GB2312"/>
          <w:b/>
          <w:bCs/>
          <w:color w:val="000000"/>
          <w:kern w:val="0"/>
          <w:sz w:val="32"/>
          <w:szCs w:val="32"/>
        </w:rPr>
      </w:pPr>
      <w:r>
        <w:rPr>
          <w:rFonts w:hint="eastAsia" w:ascii="仿宋_GB2312" w:hAnsi="仿宋_GB2312" w:eastAsia="仿宋_GB2312" w:cs="仿宋_GB2312"/>
          <w:b/>
          <w:bCs/>
          <w:color w:val="000000"/>
          <w:kern w:val="0"/>
          <w:sz w:val="32"/>
          <w:szCs w:val="32"/>
        </w:rPr>
        <w:t>（二）聚焦全面从严治党</w:t>
      </w:r>
    </w:p>
    <w:p>
      <w:pPr>
        <w:keepNext w:val="0"/>
        <w:keepLines w:val="0"/>
        <w:pageBreakBefore w:val="0"/>
        <w:widowControl/>
        <w:kinsoku/>
        <w:wordWrap/>
        <w:overflowPunct/>
        <w:topLinePunct/>
        <w:bidi w:val="0"/>
        <w:adjustRightInd w:val="0"/>
        <w:snapToGrid w:val="0"/>
        <w:spacing w:line="276" w:lineRule="auto"/>
        <w:ind w:right="0" w:rightChars="0" w:firstLine="640" w:firstLineChars="200"/>
        <w:jc w:val="left"/>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突出管党治党，深入推进全面从严治党，坚守责任担当，深入落实监督责任，推动党风廉政建设和反腐败工作不断取得新成效。以监察体制改革为契机，强化队伍建设，不断完善管理制度。切实履行纪委监督责任，不断强化对“三重一大”等事项的监督。把握运用“四种形态”，做好问题线索的处置工作，执好纪、问好责。</w:t>
      </w:r>
    </w:p>
    <w:p>
      <w:pPr>
        <w:keepNext w:val="0"/>
        <w:keepLines w:val="0"/>
        <w:pageBreakBefore w:val="0"/>
        <w:widowControl/>
        <w:kinsoku/>
        <w:wordWrap/>
        <w:overflowPunct/>
        <w:topLinePunct/>
        <w:bidi w:val="0"/>
        <w:adjustRightInd w:val="0"/>
        <w:snapToGrid w:val="0"/>
        <w:spacing w:line="276" w:lineRule="auto"/>
        <w:ind w:right="0" w:rightChars="0" w:firstLine="643" w:firstLineChars="200"/>
        <w:jc w:val="left"/>
        <w:textAlignment w:val="auto"/>
        <w:outlineLvl w:val="9"/>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（三）推动各项任务落实</w:t>
      </w:r>
    </w:p>
    <w:p>
      <w:pPr>
        <w:keepNext w:val="0"/>
        <w:keepLines w:val="0"/>
        <w:pageBreakBefore w:val="0"/>
        <w:widowControl/>
        <w:kinsoku/>
        <w:wordWrap/>
        <w:overflowPunct/>
        <w:topLinePunct/>
        <w:bidi w:val="0"/>
        <w:adjustRightInd w:val="0"/>
        <w:snapToGrid w:val="0"/>
        <w:spacing w:line="276" w:lineRule="auto"/>
        <w:ind w:right="0" w:rightChars="0" w:firstLine="640" w:firstLineChars="200"/>
        <w:jc w:val="left"/>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组织召开2018年学校党风廉政建设工作会议，对党风廉政责任进行分解，进一步落实党风廉政建设责任制。加强政治学习和业务培训，不断提高纪检监察干部的政治素质和业务水平。全面加强作风建设和纪律建设，驰而不息落实中央八项规定精神。深入开展理想信念和宗旨教育、党风党纪和廉洁自律教育，积极利用新媒体等多种媒介强化廉洁自律宣传，坚持正确舆论导向，努力营造风清气正的校园政治生态。</w:t>
      </w:r>
    </w:p>
    <w:p>
      <w:pPr>
        <w:keepNext w:val="0"/>
        <w:keepLines w:val="0"/>
        <w:pageBreakBefore w:val="0"/>
        <w:widowControl/>
        <w:kinsoku/>
        <w:wordWrap/>
        <w:overflowPunct/>
        <w:topLinePunct/>
        <w:bidi w:val="0"/>
        <w:adjustRightInd w:val="0"/>
        <w:snapToGrid w:val="0"/>
        <w:spacing w:line="276" w:lineRule="auto"/>
        <w:ind w:right="0" w:rightChars="0"/>
        <w:jc w:val="left"/>
        <w:textAlignment w:val="auto"/>
        <w:outlineLvl w:val="9"/>
        <w:rPr>
          <w:rFonts w:hint="eastAsia" w:ascii="仿宋_GB2312" w:hAnsi="仿宋_GB2312" w:eastAsia="仿宋_GB2312" w:cs="仿宋_GB2312"/>
          <w:sz w:val="32"/>
          <w:szCs w:val="32"/>
          <w:lang w:val="en-US" w:eastAsia="zh-CN"/>
        </w:rPr>
      </w:pPr>
    </w:p>
    <w:p>
      <w:pPr>
        <w:keepNext w:val="0"/>
        <w:keepLines w:val="0"/>
        <w:pageBreakBefore w:val="0"/>
        <w:widowControl/>
        <w:kinsoku/>
        <w:wordWrap/>
        <w:overflowPunct/>
        <w:topLinePunct/>
        <w:bidi w:val="0"/>
        <w:adjustRightInd w:val="0"/>
        <w:snapToGrid w:val="0"/>
        <w:spacing w:line="276" w:lineRule="auto"/>
        <w:ind w:right="0" w:rightChars="0"/>
        <w:jc w:val="left"/>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p>
    <w:p>
      <w:pPr>
        <w:keepNext w:val="0"/>
        <w:keepLines w:val="0"/>
        <w:pageBreakBefore w:val="0"/>
        <w:widowControl w:val="0"/>
        <w:kinsoku/>
        <w:wordWrap/>
        <w:overflowPunct/>
        <w:topLinePunct w:val="0"/>
        <w:autoSpaceDE w:val="0"/>
        <w:autoSpaceDN/>
        <w:bidi w:val="0"/>
        <w:adjustRightInd w:val="0"/>
        <w:snapToGrid w:val="0"/>
        <w:spacing w:line="264" w:lineRule="auto"/>
        <w:ind w:right="0" w:rightChars="0" w:firstLine="2560" w:firstLineChars="800"/>
        <w:jc w:val="both"/>
        <w:textAlignment w:val="auto"/>
        <w:outlineLvl w:val="9"/>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中共蚌埠医学院纪律检查委员会办公室</w:t>
      </w:r>
    </w:p>
    <w:p>
      <w:pPr>
        <w:keepNext w:val="0"/>
        <w:keepLines w:val="0"/>
        <w:pageBreakBefore w:val="0"/>
        <w:widowControl/>
        <w:kinsoku/>
        <w:wordWrap/>
        <w:overflowPunct/>
        <w:topLinePunct/>
        <w:bidi w:val="0"/>
        <w:adjustRightInd w:val="0"/>
        <w:snapToGrid w:val="0"/>
        <w:spacing w:line="276" w:lineRule="auto"/>
        <w:ind w:right="0" w:rightChars="0" w:firstLine="640" w:firstLineChars="200"/>
        <w:jc w:val="left"/>
        <w:textAlignment w:val="auto"/>
        <w:outlineLvl w:val="9"/>
        <w:rPr>
          <w:rFonts w:hint="eastAsia" w:ascii="仿宋_GB2312" w:hAnsi="仿宋_GB2312" w:eastAsia="仿宋_GB2312" w:cs="仿宋_GB2312"/>
          <w:sz w:val="32"/>
          <w:szCs w:val="32"/>
          <w:lang w:val="en-US" w:eastAsia="zh-CN"/>
        </w:rPr>
      </w:pPr>
      <w:r>
        <w:rPr>
          <w:rFonts w:hint="eastAsia" w:ascii="方正仿宋_GBK" w:hAnsi="仿宋" w:eastAsia="方正仿宋_GBK"/>
          <w:sz w:val="32"/>
          <w:szCs w:val="32"/>
          <w:lang w:val="en-US" w:eastAsia="zh-CN"/>
        </w:rPr>
        <w:t xml:space="preserve">                     </w:t>
      </w:r>
      <w:r>
        <w:rPr>
          <w:rFonts w:hint="eastAsia" w:ascii="仿宋_GB2312" w:hAnsi="仿宋_GB2312" w:eastAsia="仿宋_GB2312" w:cs="仿宋_GB2312"/>
          <w:sz w:val="32"/>
          <w:szCs w:val="32"/>
          <w:lang w:val="en-US" w:eastAsia="zh-CN"/>
        </w:rPr>
        <w:t>2017年12月18日</w:t>
      </w:r>
    </w:p>
    <w:p>
      <w:pPr>
        <w:keepNext w:val="0"/>
        <w:keepLines w:val="0"/>
        <w:pageBreakBefore w:val="0"/>
        <w:kinsoku/>
        <w:wordWrap/>
        <w:overflowPunct/>
        <w:bidi w:val="0"/>
        <w:adjustRightInd w:val="0"/>
        <w:snapToGrid w:val="0"/>
        <w:spacing w:line="276" w:lineRule="auto"/>
        <w:ind w:right="0" w:rightChars="0"/>
        <w:textAlignment w:val="auto"/>
        <w:outlineLvl w:val="9"/>
        <w:rPr>
          <w:rFonts w:ascii="方正小标宋简体" w:hAnsi="仿宋" w:eastAsia="方正小标宋简体"/>
          <w:sz w:val="32"/>
          <w:szCs w:val="32"/>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auto"/>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 w:name="方正仿宋_GBK">
    <w:altName w:val="微软雅黑"/>
    <w:panose1 w:val="03000509000000000000"/>
    <w:charset w:val="86"/>
    <w:family w:val="script"/>
    <w:pitch w:val="default"/>
    <w:sig w:usb0="00000000" w:usb1="00000000" w:usb2="00000010" w:usb3="00000000" w:csb0="00040000" w:csb1="00000000"/>
  </w:font>
  <w:font w:name="方正楷体简体">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仿宋_GB2312">
    <w:panose1 w:val="02010609030101010101"/>
    <w:charset w:val="86"/>
    <w:family w:val="auto"/>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Arial">
    <w:panose1 w:val="020B0604020202020204"/>
    <w:charset w:val="00"/>
    <w:family w:val="auto"/>
    <w:pitch w:val="default"/>
    <w:sig w:usb0="E0002AFF" w:usb1="C0007843" w:usb2="00000009" w:usb3="00000000" w:csb0="400001FF" w:csb1="FFFF0000"/>
  </w:font>
  <w:font w:name="楷体">
    <w:panose1 w:val="02010609060101010101"/>
    <w:charset w:val="86"/>
    <w:family w:val="modern"/>
    <w:pitch w:val="default"/>
    <w:sig w:usb0="800002BF" w:usb1="38CF7CFA" w:usb2="00000016" w:usb3="00000000" w:csb0="00040001" w:csb1="00000000"/>
  </w:font>
  <w:font w:name="仿宋_GB231">
    <w:altName w:val="仿宋"/>
    <w:panose1 w:val="00000000000000000000"/>
    <w:charset w:val="00"/>
    <w:family w:val="auto"/>
    <w:pitch w:val="default"/>
    <w:sig w:usb0="00000000" w:usb1="00000000" w:usb2="00000000" w:usb3="00000000" w:csb0="00000000" w:csb1="00000000"/>
  </w:font>
  <w:font w:name="仿宋_GB23">
    <w:altName w:val="仿宋"/>
    <w:panose1 w:val="00000000000000000000"/>
    <w:charset w:val="00"/>
    <w:family w:val="auto"/>
    <w:pitch w:val="default"/>
    <w:sig w:usb0="00000000" w:usb1="00000000" w:usb2="00000000" w:usb3="00000000" w:csb0="00000000" w:csb1="00000000"/>
  </w:font>
  <w:font w:name="仿宋_GB2">
    <w:altName w:val="仿宋"/>
    <w:panose1 w:val="00000000000000000000"/>
    <w:charset w:val="00"/>
    <w:family w:val="auto"/>
    <w:pitch w:val="default"/>
    <w:sig w:usb0="00000000" w:usb1="00000000" w:usb2="00000000" w:usb3="00000000" w:csb0="00000000" w:csb1="00000000"/>
  </w:font>
  <w:font w:name="仿宋_GB">
    <w:altName w:val="仿宋"/>
    <w:panose1 w:val="00000000000000000000"/>
    <w:charset w:val="00"/>
    <w:family w:val="auto"/>
    <w:pitch w:val="default"/>
    <w:sig w:usb0="00000000" w:usb1="00000000" w:usb2="00000000" w:usb3="00000000" w:csb0="00000000" w:csb1="00000000"/>
  </w:font>
  <w:font w:name="仿宋_G">
    <w:altName w:val="仿宋"/>
    <w:panose1 w:val="00000000000000000000"/>
    <w:charset w:val="00"/>
    <w:family w:val="auto"/>
    <w:pitch w:val="default"/>
    <w:sig w:usb0="00000000" w:usb1="00000000" w:usb2="00000000" w:usb3="00000000" w:csb0="00000000" w:csb1="00000000"/>
  </w:font>
  <w:font w:name="仿宋_">
    <w:altName w:val="仿宋"/>
    <w:panose1 w:val="00000000000000000000"/>
    <w:charset w:val="00"/>
    <w:family w:val="auto"/>
    <w:pitch w:val="default"/>
    <w:sig w:usb0="00000000" w:usb1="00000000" w:usb2="00000000" w:usb3="00000000" w:csb0="00000000" w:csb1="00000000"/>
  </w:font>
  <w:font w:name="仿">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f">
    <w:altName w:val="Segoe Print"/>
    <w:panose1 w:val="00000000000000000000"/>
    <w:charset w:val="00"/>
    <w:family w:val="auto"/>
    <w:pitch w:val="default"/>
    <w:sig w:usb0="00000000" w:usb1="00000000" w:usb2="00000000" w:usb3="00000000" w:csb0="00000000" w:csb1="00000000"/>
  </w:font>
  <w:font w:name="fa">
    <w:altName w:val="Segoe Print"/>
    <w:panose1 w:val="00000000000000000000"/>
    <w:charset w:val="00"/>
    <w:family w:val="auto"/>
    <w:pitch w:val="default"/>
    <w:sig w:usb0="00000000" w:usb1="00000000" w:usb2="00000000" w:usb3="00000000" w:csb0="00000000" w:csb1="00000000"/>
  </w:font>
  <w:font w:name="fan">
    <w:altName w:val="Segoe Print"/>
    <w:panose1 w:val="00000000000000000000"/>
    <w:charset w:val="00"/>
    <w:family w:val="auto"/>
    <w:pitch w:val="default"/>
    <w:sig w:usb0="00000000" w:usb1="00000000" w:usb2="00000000" w:usb3="00000000" w:csb0="00000000" w:csb1="00000000"/>
  </w:font>
  <w:font w:name="fang">
    <w:altName w:val="Segoe Print"/>
    <w:panose1 w:val="00000000000000000000"/>
    <w:charset w:val="00"/>
    <w:family w:val="auto"/>
    <w:pitch w:val="default"/>
    <w:sig w:usb0="00000000" w:usb1="00000000" w:usb2="00000000" w:usb3="00000000" w:csb0="00000000" w:csb1="00000000"/>
  </w:font>
  <w:font w:name="方正">
    <w:altName w:val="Segoe Print"/>
    <w:panose1 w:val="00000000000000000000"/>
    <w:charset w:val="00"/>
    <w:family w:val="auto"/>
    <w:pitch w:val="default"/>
    <w:sig w:usb0="00000000" w:usb1="00000000" w:usb2="00000000" w:usb3="00000000" w:csb0="00000000" w:csb1="00000000"/>
  </w:font>
  <w:font w:name="方正兰亭超细黑简体">
    <w:panose1 w:val="02000000000000000000"/>
    <w:charset w:val="86"/>
    <w:family w:val="auto"/>
    <w:pitch w:val="default"/>
    <w:sig w:usb0="00000001" w:usb1="08000000" w:usb2="00000000" w:usb3="00000000" w:csb0="00040000" w:csb1="00000000"/>
  </w:font>
  <w:font w:name="方正小标">
    <w:altName w:val="Segoe Print"/>
    <w:panose1 w:val="00000000000000000000"/>
    <w:charset w:val="00"/>
    <w:family w:val="auto"/>
    <w:pitch w:val="default"/>
    <w:sig w:usb0="00000000" w:usb1="00000000" w:usb2="00000000" w:usb3="00000000" w:csb0="00000000" w:csb1="00000000"/>
  </w:font>
  <w:font w:name="方正小标宋">
    <w:altName w:val="宋体"/>
    <w:panose1 w:val="00000000000000000000"/>
    <w:charset w:val="00"/>
    <w:family w:val="auto"/>
    <w:pitch w:val="default"/>
    <w:sig w:usb0="00000000" w:usb1="00000000" w:usb2="00000000" w:usb3="00000000" w:csb0="00000000" w:csb1="00000000"/>
  </w:font>
  <w:font w:name="方正黑体">
    <w:altName w:val="黑体"/>
    <w:panose1 w:val="00000000000000000000"/>
    <w:charset w:val="00"/>
    <w:family w:val="auto"/>
    <w:pitch w:val="default"/>
    <w:sig w:usb0="00000000" w:usb1="00000000" w:usb2="00000000" w:usb3="00000000" w:csb0="00000000" w:csb1="00000000"/>
  </w:font>
  <w:font w:name="小">
    <w:altName w:val="Segoe Print"/>
    <w:panose1 w:val="00000000000000000000"/>
    <w:charset w:val="00"/>
    <w:family w:val="auto"/>
    <w:pitch w:val="default"/>
    <w:sig w:usb0="00000000" w:usb1="00000000" w:usb2="00000000" w:usb3="00000000" w:csb0="00000000" w:csb1="00000000"/>
  </w:font>
  <w:font w:name="小标">
    <w:altName w:val="Segoe Print"/>
    <w:panose1 w:val="00000000000000000000"/>
    <w:charset w:val="00"/>
    <w:family w:val="auto"/>
    <w:pitch w:val="default"/>
    <w:sig w:usb0="00000000" w:usb1="00000000" w:usb2="00000000" w:usb3="00000000" w:csb0="00000000" w:csb1="00000000"/>
  </w:font>
  <w:font w:name="小标宋">
    <w:altName w:val="微软雅黑"/>
    <w:panose1 w:val="00000000000000000000"/>
    <w:charset w:val="00"/>
    <w:family w:val="auto"/>
    <w:pitch w:val="default"/>
    <w:sig w:usb0="00000000" w:usb1="00000000" w:usb2="00000000" w:usb3="00000000" w:csb0="00000000" w:csb1="00000000"/>
  </w:font>
  <w:font w:name="楷体_GB2312">
    <w:panose1 w:val="02010609030101010101"/>
    <w:charset w:val="86"/>
    <w:family w:val="auto"/>
    <w:pitch w:val="default"/>
    <w:sig w:usb0="00000001" w:usb1="080E0000" w:usb2="00000000" w:usb3="00000000" w:csb0="00040000" w:csb1="00000000"/>
  </w:font>
  <w:font w:name="方正小">
    <w:altName w:val="Segoe Print"/>
    <w:panose1 w:val="00000000000000000000"/>
    <w:charset w:val="00"/>
    <w:family w:val="auto"/>
    <w:pitch w:val="default"/>
    <w:sig w:usb0="00000000" w:usb1="00000000" w:usb2="00000000" w:usb3="00000000" w:csb0="00000000" w:csb1="00000000"/>
  </w:font>
  <w:font w:name="方正楷体">
    <w:altName w:val="楷体_GB2312"/>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both"/>
    </w:pPr>
    <w:r>
      <w:pict>
        <v:shape id="_x0000_s3073" o:spid="_x0000_s3073" o:spt="202" type="#_x0000_t202" style="position:absolute;left:0pt;margin-top:0pt;height:144pt;width:144pt;mso-position-horizontal:center;mso-position-horizontal-relative:margin;mso-wrap-style:none;z-index:1024;mso-width-relative:page;mso-height-relative:page;" filled="f" stroked="f" coordsize="21600,21600">
          <v:path/>
          <v:fill on="f" focussize="0,0"/>
          <v:stroke on="f" joinstyle="miter"/>
          <v:imagedata o:title=""/>
          <o:lock v:ext="edit"/>
          <v:textbox inset="0mm,0mm,0mm,0mm" style="mso-fit-shape-to-text:t;">
            <w:txbxContent>
              <w:p>
                <w:pPr>
                  <w:pStyle w:val="3"/>
                </w:pPr>
                <w:r>
                  <w:rPr>
                    <w:rFonts w:hint="eastAsia"/>
                  </w:rPr>
                  <w:fldChar w:fldCharType="begin"/>
                </w:r>
                <w:r>
                  <w:rPr>
                    <w:rFonts w:hint="eastAsia"/>
                  </w:rPr>
                  <w:instrText xml:space="preserve"> PAGE  \* MERGEFORMAT </w:instrText>
                </w:r>
                <w:r>
                  <w:rPr>
                    <w:rFonts w:hint="eastAsia"/>
                  </w:rPr>
                  <w:fldChar w:fldCharType="separate"/>
                </w:r>
                <w:r>
                  <w:t>6</w:t>
                </w:r>
                <w:r>
                  <w:rPr>
                    <w:rFonts w:hint="eastAsia"/>
                  </w:rPr>
                  <w:fldChar w:fldCharType="end"/>
                </w:r>
              </w:p>
            </w:txbxContent>
          </v:textbox>
        </v:shape>
      </w:pict>
    </w:r>
  </w:p>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layout v:ext="edit">
      <o:idmap v:ext="edit" data="3"/>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D76AB"/>
    <w:rsid w:val="000275C8"/>
    <w:rsid w:val="00056768"/>
    <w:rsid w:val="000B28BF"/>
    <w:rsid w:val="000C471E"/>
    <w:rsid w:val="000E3875"/>
    <w:rsid w:val="000E417D"/>
    <w:rsid w:val="000F249D"/>
    <w:rsid w:val="000F48DA"/>
    <w:rsid w:val="001309E8"/>
    <w:rsid w:val="00130D36"/>
    <w:rsid w:val="00167D61"/>
    <w:rsid w:val="001A0BE7"/>
    <w:rsid w:val="001A23A6"/>
    <w:rsid w:val="00232C8D"/>
    <w:rsid w:val="002A4112"/>
    <w:rsid w:val="002D2AFE"/>
    <w:rsid w:val="002E105E"/>
    <w:rsid w:val="00306A0F"/>
    <w:rsid w:val="00311D51"/>
    <w:rsid w:val="00392996"/>
    <w:rsid w:val="003F420C"/>
    <w:rsid w:val="003F51AD"/>
    <w:rsid w:val="00403D8D"/>
    <w:rsid w:val="00417D42"/>
    <w:rsid w:val="00422879"/>
    <w:rsid w:val="00456AF4"/>
    <w:rsid w:val="004837F7"/>
    <w:rsid w:val="00494199"/>
    <w:rsid w:val="004B32AC"/>
    <w:rsid w:val="004D1AA0"/>
    <w:rsid w:val="004D284F"/>
    <w:rsid w:val="004D76AB"/>
    <w:rsid w:val="00526A36"/>
    <w:rsid w:val="00591BF4"/>
    <w:rsid w:val="005A09AF"/>
    <w:rsid w:val="005A3F86"/>
    <w:rsid w:val="005A52C6"/>
    <w:rsid w:val="005C5FBA"/>
    <w:rsid w:val="006C3630"/>
    <w:rsid w:val="006F37F1"/>
    <w:rsid w:val="007138AD"/>
    <w:rsid w:val="00722ECC"/>
    <w:rsid w:val="00724FD3"/>
    <w:rsid w:val="00742509"/>
    <w:rsid w:val="00756970"/>
    <w:rsid w:val="00790441"/>
    <w:rsid w:val="007934E1"/>
    <w:rsid w:val="007A5B14"/>
    <w:rsid w:val="007B0B4E"/>
    <w:rsid w:val="007B3F75"/>
    <w:rsid w:val="00811757"/>
    <w:rsid w:val="00860D6A"/>
    <w:rsid w:val="00865B12"/>
    <w:rsid w:val="00887C56"/>
    <w:rsid w:val="008A2E08"/>
    <w:rsid w:val="008A5CD4"/>
    <w:rsid w:val="00965B96"/>
    <w:rsid w:val="009730DB"/>
    <w:rsid w:val="00992D2C"/>
    <w:rsid w:val="009A7C6B"/>
    <w:rsid w:val="009C0271"/>
    <w:rsid w:val="009D2CFB"/>
    <w:rsid w:val="00A15A6B"/>
    <w:rsid w:val="00A262E9"/>
    <w:rsid w:val="00A44971"/>
    <w:rsid w:val="00A52170"/>
    <w:rsid w:val="00A74A38"/>
    <w:rsid w:val="00A8444B"/>
    <w:rsid w:val="00AB212B"/>
    <w:rsid w:val="00AB2B0B"/>
    <w:rsid w:val="00AB4EC7"/>
    <w:rsid w:val="00AC208A"/>
    <w:rsid w:val="00B2149E"/>
    <w:rsid w:val="00B33EED"/>
    <w:rsid w:val="00B5489D"/>
    <w:rsid w:val="00B83F25"/>
    <w:rsid w:val="00B9486A"/>
    <w:rsid w:val="00BB6E09"/>
    <w:rsid w:val="00BC575F"/>
    <w:rsid w:val="00BD7F19"/>
    <w:rsid w:val="00BE744E"/>
    <w:rsid w:val="00C21B1A"/>
    <w:rsid w:val="00C2664C"/>
    <w:rsid w:val="00C44F6E"/>
    <w:rsid w:val="00C7228C"/>
    <w:rsid w:val="00CA1218"/>
    <w:rsid w:val="00CA4F69"/>
    <w:rsid w:val="00CD4AB2"/>
    <w:rsid w:val="00D1303A"/>
    <w:rsid w:val="00D169C9"/>
    <w:rsid w:val="00D6318D"/>
    <w:rsid w:val="00D96DC3"/>
    <w:rsid w:val="00DA446E"/>
    <w:rsid w:val="00DC3415"/>
    <w:rsid w:val="00DF09E5"/>
    <w:rsid w:val="00DF79E5"/>
    <w:rsid w:val="00E808B5"/>
    <w:rsid w:val="00EC0DF9"/>
    <w:rsid w:val="00ED2165"/>
    <w:rsid w:val="00ED59E5"/>
    <w:rsid w:val="00F23836"/>
    <w:rsid w:val="00F45920"/>
    <w:rsid w:val="00F51EE6"/>
    <w:rsid w:val="014F5A2C"/>
    <w:rsid w:val="1094148C"/>
    <w:rsid w:val="1096447E"/>
    <w:rsid w:val="138A435A"/>
    <w:rsid w:val="19F544B0"/>
    <w:rsid w:val="270F3391"/>
    <w:rsid w:val="302D641D"/>
    <w:rsid w:val="30413962"/>
    <w:rsid w:val="32BF6903"/>
    <w:rsid w:val="34A57B55"/>
    <w:rsid w:val="35BE5B06"/>
    <w:rsid w:val="4B9D65EB"/>
    <w:rsid w:val="4BAC6D3E"/>
    <w:rsid w:val="56EF2AD7"/>
    <w:rsid w:val="5A944A37"/>
    <w:rsid w:val="61C312F9"/>
    <w:rsid w:val="66152771"/>
    <w:rsid w:val="68CE4161"/>
    <w:rsid w:val="6C1C7338"/>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semiHidden="0"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99"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Body Text"/>
    <w:basedOn w:val="1"/>
    <w:link w:val="10"/>
    <w:qFormat/>
    <w:uiPriority w:val="99"/>
    <w:pPr>
      <w:spacing w:after="120"/>
    </w:pPr>
    <w:rPr>
      <w:szCs w:val="24"/>
    </w:rPr>
  </w:style>
  <w:style w:type="paragraph" w:styleId="3">
    <w:name w:val="footer"/>
    <w:basedOn w:val="1"/>
    <w:link w:val="12"/>
    <w:semiHidden/>
    <w:qFormat/>
    <w:uiPriority w:val="99"/>
    <w:pPr>
      <w:tabs>
        <w:tab w:val="center" w:pos="4153"/>
        <w:tab w:val="right" w:pos="8306"/>
      </w:tabs>
      <w:snapToGrid w:val="0"/>
      <w:jc w:val="left"/>
    </w:pPr>
    <w:rPr>
      <w:sz w:val="18"/>
      <w:szCs w:val="18"/>
    </w:rPr>
  </w:style>
  <w:style w:type="paragraph" w:styleId="4">
    <w:name w:val="header"/>
    <w:basedOn w:val="1"/>
    <w:link w:val="11"/>
    <w:semiHidden/>
    <w:qFormat/>
    <w:uiPriority w:val="99"/>
    <w:pPr>
      <w:pBdr>
        <w:bottom w:val="single" w:color="auto" w:sz="6" w:space="1"/>
      </w:pBdr>
      <w:tabs>
        <w:tab w:val="center" w:pos="4153"/>
        <w:tab w:val="right" w:pos="8306"/>
      </w:tabs>
      <w:snapToGrid w:val="0"/>
      <w:jc w:val="center"/>
    </w:pPr>
    <w:rPr>
      <w:sz w:val="18"/>
      <w:szCs w:val="18"/>
    </w:rPr>
  </w:style>
  <w:style w:type="character" w:styleId="6">
    <w:name w:val="Emphasis"/>
    <w:basedOn w:val="5"/>
    <w:qFormat/>
    <w:uiPriority w:val="99"/>
    <w:rPr>
      <w:rFonts w:cs="Times New Roman"/>
      <w:i/>
      <w:iCs/>
    </w:rPr>
  </w:style>
  <w:style w:type="table" w:styleId="8">
    <w:name w:val="Table Grid"/>
    <w:basedOn w:val="7"/>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9">
    <w:name w:val="列出段落1"/>
    <w:basedOn w:val="1"/>
    <w:qFormat/>
    <w:uiPriority w:val="99"/>
    <w:pPr>
      <w:ind w:firstLine="420" w:firstLineChars="200"/>
    </w:pPr>
  </w:style>
  <w:style w:type="character" w:customStyle="1" w:styleId="10">
    <w:name w:val="正文文本 Char"/>
    <w:basedOn w:val="5"/>
    <w:link w:val="2"/>
    <w:qFormat/>
    <w:locked/>
    <w:uiPriority w:val="99"/>
    <w:rPr>
      <w:rFonts w:ascii="Calibri" w:hAnsi="Calibri" w:eastAsia="宋体" w:cs="Times New Roman"/>
      <w:sz w:val="24"/>
      <w:szCs w:val="24"/>
    </w:rPr>
  </w:style>
  <w:style w:type="character" w:customStyle="1" w:styleId="11">
    <w:name w:val="页眉 Char"/>
    <w:basedOn w:val="5"/>
    <w:link w:val="4"/>
    <w:semiHidden/>
    <w:qFormat/>
    <w:locked/>
    <w:uiPriority w:val="99"/>
    <w:rPr>
      <w:rFonts w:cs="Times New Roman"/>
      <w:sz w:val="18"/>
      <w:szCs w:val="18"/>
    </w:rPr>
  </w:style>
  <w:style w:type="character" w:customStyle="1" w:styleId="12">
    <w:name w:val="页脚 Char"/>
    <w:basedOn w:val="5"/>
    <w:link w:val="3"/>
    <w:semiHidden/>
    <w:qFormat/>
    <w:locked/>
    <w:uiPriority w:val="99"/>
    <w:rPr>
      <w:rFonts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307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600</Words>
  <Characters>3424</Characters>
  <Lines>28</Lines>
  <Paragraphs>8</Paragraphs>
  <ScaleCrop>false</ScaleCrop>
  <LinksUpToDate>false</LinksUpToDate>
  <CharactersWithSpaces>4016</CharactersWithSpaces>
  <Application>WPS Office_10.1.0.7022_F1E327BC-269C-435d-A152-05C5408002CA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2017-12-06T02:52:00Z</dcterms:created>
  <dc:creator>Administrator</dc:creator>
  <cp:lastModifiedBy>望断南飞雁</cp:lastModifiedBy>
  <cp:lastPrinted>2017-12-20T03:01:32Z</cp:lastPrinted>
  <dcterms:modified xsi:type="dcterms:W3CDTF">2017-12-20T03:04:35Z</dcterms:modified>
  <cp:revision>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